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6.png" ContentType="image/png"/>
  <Override PartName="/word/media/rId29.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Override PartName="/word/media/rId52.png" ContentType="image/png"/>
  <Override PartName="/word/media/rId55.png" ContentType="image/png"/>
  <Override PartName="/word/media/rId58.png" ContentType="image/png"/>
  <Override PartName="/word/media/rId61.png" ContentType="image/png"/>
  <Override PartName="/word/media/rId65.png" ContentType="image/png"/>
  <Override PartName="/word/media/rId68.png" ContentType="image/png"/>
  <Override PartName="/word/media/rId71.png" ContentType="image/png"/>
  <Override PartName="/word/media/rId74.png" ContentType="image/png"/>
  <Override PartName="/word/media/rId79.png" ContentType="image/png"/>
  <Override PartName="/word/media/rId82.png" ContentType="image/png"/>
  <Override PartName="/word/media/rId85.png" ContentType="image/png"/>
  <Override PartName="/word/media/rId88.png" ContentType="image/png"/>
  <Override PartName="/word/media/rId92.png" ContentType="image/png"/>
  <Override PartName="/word/media/rId95.png" ContentType="image/png"/>
  <Override PartName="/word/media/rId98.png" ContentType="image/png"/>
  <Override PartName="/word/media/rId101.png" ContentType="image/png"/>
  <Override PartName="/word/media/rId110.png" ContentType="image/png"/>
  <Override PartName="/word/media/rId113.png" ContentType="image/png"/>
  <Override PartName="/word/media/rId116.png" ContentType="image/png"/>
  <Override PartName="/word/media/rId119.png" ContentType="image/png"/>
  <Override PartName="/word/media/rId123.png" ContentType="image/png"/>
  <Override PartName="/word/media/rId107.png" ContentType="image/png"/>
  <Override PartName="/word/media/rId149.png" ContentType="image/png"/>
  <Override PartName="/word/media/rId153.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UGT</w:t>
      </w:r>
      <w:r>
        <w:t xml:space="preserve"> </w:t>
      </w:r>
      <w:r>
        <w:t xml:space="preserve">DDI</w:t>
      </w:r>
      <w:r>
        <w:t xml:space="preserve"> </w:t>
      </w:r>
      <w:r>
        <w:t xml:space="preserve">Inhibition</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x.x-OSPy.y</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https://github.com/Open-Systems-Pharmacology/Qualification-DDI-UGT/releases/tag/vx.x</w:t>
            </w:r>
          </w:p>
        </w:tc>
      </w:tr>
      <w:tr>
        <w:tc>
          <w:tcPr/>
          <w:p>
            <w:pPr>
              <w:pStyle w:val="Compact"/>
              <w:jc w:val="left"/>
            </w:pPr>
            <w:r>
              <w:t xml:space="preserve">OSP</w:t>
            </w:r>
            <w:r>
              <w:t xml:space="preserve"> </w:t>
            </w:r>
            <w:r>
              <w:t xml:space="preserve">Version</w:t>
            </w:r>
          </w:p>
        </w:tc>
        <w:tc>
          <w:tcPr/>
          <w:p>
            <w:pPr>
              <w:pStyle w:val="Compact"/>
              <w:jc w:val="left"/>
            </w:pPr>
            <w:r>
              <w:t xml:space="preserve">y.y</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z.z</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5" w:name="introduction"/>
    <w:p>
      <w:pPr>
        <w:pStyle w:val="Heading1"/>
      </w:pPr>
      <w:r>
        <w:t xml:space="preserve">1 Introduction</w:t>
      </w:r>
    </w:p>
    <w:p>
      <w:pPr>
        <w:pStyle w:val="FirstParagraph"/>
      </w:pPr>
    </w:p>
    <w:bookmarkStart w:id="20" w:name="objective"/>
    <w:p>
      <w:pPr>
        <w:pStyle w:val="Heading2"/>
      </w:pPr>
      <w:r>
        <w:t xml:space="preserve">1.1 Objective</w:t>
      </w:r>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UGT1A1- and UGT1A9-mediated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particularly for</w:t>
      </w:r>
      <w:r>
        <w:t xml:space="preserve"> </w:t>
      </w:r>
      <w:r>
        <w:rPr>
          <w:bCs/>
          <w:b/>
        </w:rPr>
        <w:t xml:space="preserve">inhibition</w:t>
      </w:r>
      <w:r>
        <w:t xml:space="preserve"> </w:t>
      </w:r>
      <w:r>
        <w:t xml:space="preserve">of UGT1A1 and UGT1A9 by selected perpetrators on sensitive substrates . All PBPK models represent whole-body PBPK models, which allow dynamic DDI simulations in organs expressing UGT1A1 or UGT1A9, respectively.</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documented and provided open-source (www.open-systems-pharmacology.org). The same applies for all presented PBPK models including</w:t>
      </w:r>
      <w:r>
        <w:t xml:space="preserve"> </w:t>
      </w:r>
      <w:r>
        <w:rPr>
          <w:iCs/>
          <w:i/>
        </w:rPr>
        <w:t xml:space="preserve">evaluation reports</w:t>
      </w:r>
      <w:r>
        <w:t xml:space="preserve"> </w:t>
      </w:r>
      <w:r>
        <w:t xml:space="preserve">on model building and evaluation of each model.</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f4fd85115624505b1719cd1154527ee61955977">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p>
      <w:pPr>
        <w:pStyle w:val="FirstParagraph"/>
      </w:pPr>
    </w:p>
    <w:bookmarkEnd w:id="20"/>
    <w:bookmarkStart w:id="24" w:name="ugt-ddi-network"/>
    <w:p>
      <w:pPr>
        <w:pStyle w:val="Heading2"/>
      </w:pPr>
      <w:r>
        <w:t xml:space="preserve">1.2 UGT DDI Network</w:t>
      </w:r>
    </w:p>
    <w:p>
      <w:pPr>
        <w:pStyle w:val="FirstParagraph"/>
      </w:pPr>
      <w:r>
        <w:t xml:space="preserve">The following perpetrator compounds were selected:</w:t>
      </w:r>
    </w:p>
    <w:p>
      <w:pPr>
        <w:numPr>
          <w:ilvl w:val="0"/>
          <w:numId w:val="1002"/>
        </w:numPr>
      </w:pPr>
      <w:r>
        <w:rPr>
          <w:bCs/>
          <w:b/>
        </w:rPr>
        <w:t xml:space="preserve">Atazanavir</w:t>
      </w:r>
      <w:r>
        <w:t xml:space="preserve"> </w:t>
      </w:r>
      <w:r>
        <w:t xml:space="preserve">(UGT1A1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https://github.com/Open-Systems-Pharmacology/Atazanavir-Model/releases/tag/v1.1</w:t>
      </w:r>
    </w:p>
    <w:p>
      <w:pPr>
        <w:numPr>
          <w:ilvl w:val="0"/>
          <w:numId w:val="1002"/>
        </w:numPr>
      </w:pPr>
      <w:r>
        <w:rPr>
          <w:bCs/>
          <w:b/>
        </w:rPr>
        <w:t xml:space="preserve">Mefenamic acid</w:t>
      </w:r>
      <w:r>
        <w:t xml:space="preserve"> </w:t>
      </w:r>
      <w:r>
        <w:t xml:space="preserve">(UGT1A9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https://github.com/Open-Systems-Pharmacology/Mefenamic-acid-Model/releases/tag/v1.1</w:t>
      </w:r>
    </w:p>
    <w:p>
      <w:pPr>
        <w:pStyle w:val="FirstParagraph"/>
      </w:pPr>
      <w:r>
        <w:t xml:space="preserve">The following sensitive substrates as victim drugs were selected:</w:t>
      </w:r>
    </w:p>
    <w:p>
      <w:pPr>
        <w:numPr>
          <w:ilvl w:val="0"/>
          <w:numId w:val="1003"/>
        </w:numPr>
      </w:pPr>
      <w:r>
        <w:rPr>
          <w:bCs/>
          <w:b/>
        </w:rPr>
        <w:t xml:space="preserve">Raltegravir</w:t>
      </w:r>
      <w:r>
        <w:t xml:space="preserve"> </w:t>
      </w:r>
      <w:r>
        <w:t xml:space="preserve">(UGT1A1 substrate)</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https://github.com/Open-Systems-Pharmacology/Raltegravir-Model/releases/tag/v1.2</w:t>
      </w:r>
    </w:p>
    <w:p>
      <w:pPr>
        <w:numPr>
          <w:ilvl w:val="0"/>
          <w:numId w:val="1003"/>
        </w:numPr>
      </w:pPr>
      <w:r>
        <w:rPr>
          <w:bCs/>
          <w:b/>
        </w:rPr>
        <w:t xml:space="preserve">Dapagliflozin</w:t>
      </w:r>
      <w:r>
        <w:t xml:space="preserve"> </w:t>
      </w:r>
      <w:r>
        <w:t xml:space="preserve">(UGT1A9 substrate):</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https://github.com/Open-Systems-Pharmacology/Dapagliflozin-Model/releases/tag/v1.1</w:t>
      </w:r>
    </w:p>
    <w:p>
      <w:pPr>
        <w:pStyle w:val="FirstParagraph"/>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1">
        <w:r>
          <w:rPr>
            <w:rStyle w:val="Hyperlink"/>
          </w:rPr>
          <w:t xml:space="preserve">OSP PK database</w:t>
        </w:r>
      </w:hyperlink>
      <w:r>
        <w:t xml:space="preserve">.</w:t>
      </w:r>
    </w:p>
    <w:p>
      <w:pPr>
        <w:pStyle w:val="BodyText"/>
      </w:pPr>
    </w:p>
    <w:bookmarkStart w:id="22" w:name="atazanavir---raltegravir-ddi"/>
    <w:p>
      <w:pPr>
        <w:pStyle w:val="Heading3"/>
      </w:pPr>
      <w:r>
        <w:t xml:space="preserve">Atazanavir - Raltegravir DDI</w:t>
      </w:r>
    </w:p>
    <w:p>
      <w:pPr>
        <w:pStyle w:val="FirstParagraph"/>
      </w:pPr>
      <w:r>
        <w:t xml:space="preserve">The release of the snapshot containing the respective simulations can be found here:</w:t>
      </w:r>
      <w:r>
        <w:t xml:space="preserve"> </w:t>
      </w:r>
      <w:r>
        <w:t xml:space="preserve">https://github.com/Open-Systems-Pharmacology/Atazanavir-Raltegravir-DDI/releases/tag/v1.1.</w:t>
      </w:r>
    </w:p>
    <w:p>
      <w:pPr>
        <w:pStyle w:val="BodyText"/>
      </w:pPr>
      <w:r>
        <w:t xml:space="preserve">The atazanavir / raltegravir interaction was evaluated using four clinical DDI studies (</w:t>
      </w:r>
      <w:hyperlink w:anchor="X47fcd2a435082ab139852f996095019cfce88d0">
        <w:r>
          <w:rPr>
            <w:rStyle w:val="Hyperlink"/>
          </w:rPr>
          <w:t xml:space="preserve">Iwamoto 2008</w:t>
        </w:r>
      </w:hyperlink>
      <w:r>
        <w:t xml:space="preserve">,</w:t>
      </w:r>
      <w:r>
        <w:t xml:space="preserve"> </w:t>
      </w:r>
      <w:hyperlink w:anchor="X47fcd2a435082ab139852f996095019cfce88d0">
        <w:r>
          <w:rPr>
            <w:rStyle w:val="Hyperlink"/>
          </w:rPr>
          <w:t xml:space="preserve">Krishna 2008</w:t>
        </w:r>
      </w:hyperlink>
      <w:r>
        <w:t xml:space="preserve">,</w:t>
      </w:r>
      <w:r>
        <w:t xml:space="preserve"> </w:t>
      </w:r>
      <w:hyperlink w:anchor="X47fcd2a435082ab139852f996095019cfce88d0">
        <w:r>
          <w:rPr>
            <w:rStyle w:val="Hyperlink"/>
          </w:rPr>
          <w:t xml:space="preserve">Neely 2010</w:t>
        </w:r>
      </w:hyperlink>
      <w:r>
        <w:t xml:space="preserve">,</w:t>
      </w:r>
      <w:r>
        <w:t xml:space="preserve"> </w:t>
      </w:r>
      <w:hyperlink w:anchor="X47fcd2a435082ab139852f996095019cfce88d0">
        <w:r>
          <w:rPr>
            <w:rStyle w:val="Hyperlink"/>
          </w:rPr>
          <w:t xml:space="preserve">Zhu 2010</w:t>
        </w:r>
      </w:hyperlink>
      <w:r>
        <w:t xml:space="preserve">).</w:t>
      </w:r>
    </w:p>
    <w:tbl>
      <w:tblPr>
        <w:tblStyle w:val="Table"/>
        <w:tblW w:type="pct" w:w="5000"/>
        <w:tblLook w:firstRow="1" w:lastRow="0" w:firstColumn="0" w:lastColumn="0" w:noHBand="0" w:noVBand="0" w:val="0020"/>
        <w:jc w:val="start"/>
      </w:tblPr>
      <w:tblGrid>
        <w:gridCol w:w="377"/>
        <w:gridCol w:w="377"/>
        <w:gridCol w:w="1508"/>
        <w:gridCol w:w="3771"/>
        <w:gridCol w:w="188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571</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100 mg single dose on day 7 simultaneous with the 7th dose of atazanavir</w:t>
            </w:r>
          </w:p>
        </w:tc>
        <w:tc>
          <w:tcPr/>
          <w:p>
            <w:pPr>
              <w:pStyle w:val="Compact"/>
              <w:jc w:val="left"/>
            </w:pPr>
            <w:hyperlink w:anchor="X47fcd2a435082ab139852f996095019cfce88d0">
              <w:r>
                <w:rPr>
                  <w:rStyle w:val="Hyperlink"/>
                </w:rPr>
                <w:t xml:space="preserve">Iwamoto 2008</w:t>
              </w:r>
            </w:hyperlink>
          </w:p>
        </w:tc>
      </w:tr>
      <w:tr>
        <w:tc>
          <w:tcPr/>
          <w:p>
            <w:pPr>
              <w:pStyle w:val="Compact"/>
              <w:jc w:val="left"/>
            </w:pPr>
            <w:r>
              <w:t xml:space="preserve">575</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1200 mg single dose on day 7 simultaneous with the 7th dose of atazanavir</w:t>
            </w:r>
          </w:p>
        </w:tc>
        <w:tc>
          <w:tcPr/>
          <w:p>
            <w:pPr>
              <w:pStyle w:val="Compact"/>
              <w:jc w:val="left"/>
            </w:pPr>
            <w:hyperlink w:anchor="X47fcd2a435082ab139852f996095019cfce88d0">
              <w:r>
                <w:rPr>
                  <w:rStyle w:val="Hyperlink"/>
                </w:rPr>
                <w:t xml:space="preserve">Krishna 2008,</w:t>
              </w:r>
            </w:hyperlink>
          </w:p>
        </w:tc>
      </w:tr>
      <w:tr>
        <w:tc>
          <w:tcPr/>
          <w:p>
            <w:pPr>
              <w:pStyle w:val="Compact"/>
              <w:jc w:val="left"/>
            </w:pPr>
            <w:r>
              <w:t xml:space="preserve">573</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400 mg once daily dosing (control phase 400 mg twice daily)</w:t>
            </w:r>
            <w:r>
              <w:t xml:space="preserve">DDI assessment on day 8</w:t>
            </w:r>
          </w:p>
        </w:tc>
        <w:tc>
          <w:tcPr/>
          <w:p>
            <w:pPr>
              <w:pStyle w:val="Compact"/>
              <w:jc w:val="left"/>
            </w:pPr>
            <w:hyperlink w:anchor="X47fcd2a435082ab139852f996095019cfce88d0">
              <w:r>
                <w:rPr>
                  <w:rStyle w:val="Hyperlink"/>
                </w:rPr>
                <w:t xml:space="preserve">Neely 2010</w:t>
              </w:r>
            </w:hyperlink>
          </w:p>
        </w:tc>
      </w:tr>
      <w:tr>
        <w:tc>
          <w:tcPr/>
          <w:p>
            <w:pPr>
              <w:pStyle w:val="Compact"/>
              <w:jc w:val="left"/>
            </w:pPr>
            <w:r>
              <w:t xml:space="preserve">579</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300 mg twice daily dosing</w:t>
            </w:r>
            <w:r>
              <w:t xml:space="preserve">Raltegravir: 400 mg twice daily dosing</w:t>
            </w:r>
            <w:r>
              <w:t xml:space="preserve"> </w:t>
            </w:r>
            <w:r>
              <w:t xml:space="preserve">DDI assessment on day 27</w:t>
            </w:r>
          </w:p>
        </w:tc>
        <w:tc>
          <w:tcPr/>
          <w:p>
            <w:pPr>
              <w:pStyle w:val="Compact"/>
              <w:jc w:val="left"/>
            </w:pPr>
            <w:hyperlink w:anchor="X47fcd2a435082ab139852f996095019cfce88d0">
              <w:r>
                <w:rPr>
                  <w:rStyle w:val="Hyperlink"/>
                </w:rPr>
                <w:t xml:space="preserve">Zhu 2010</w:t>
              </w:r>
            </w:hyperlink>
          </w:p>
        </w:tc>
      </w:tr>
    </w:tbl>
    <w:p>
      <w:pPr>
        <w:pStyle w:val="BodyText"/>
      </w:pPr>
    </w:p>
    <w:bookmarkEnd w:id="22"/>
    <w:bookmarkStart w:id="23" w:name="mefenamic-acid---dapagliflozin-ddi"/>
    <w:p>
      <w:pPr>
        <w:pStyle w:val="Heading3"/>
      </w:pPr>
      <w:r>
        <w:t xml:space="preserve">Mefenamic acid - Dapagliflozin DDI</w:t>
      </w:r>
    </w:p>
    <w:p>
      <w:pPr>
        <w:pStyle w:val="FirstParagraph"/>
      </w:pPr>
      <w:r>
        <w:t xml:space="preserve">The release of the snapshot containing the respective simulations can be found here:</w:t>
      </w:r>
      <w:r>
        <w:t xml:space="preserve"> </w:t>
      </w:r>
      <w:r>
        <w:t xml:space="preserve">https://github.com/Open-Systems-Pharmacology/Mefenamic_acid-Dapagliflozin-DDI/releases/tag/v1.1.</w:t>
      </w:r>
    </w:p>
    <w:p>
      <w:pPr>
        <w:pStyle w:val="BodyText"/>
      </w:pPr>
      <w:r>
        <w:t xml:space="preserve">The mefenamic acid / dapagliflozin interaction was evaluated using 1 clinical DDI study (</w:t>
      </w:r>
      <w:hyperlink w:anchor="X47fcd2a435082ab139852f996095019cfce88d0">
        <w:r>
          <w:rPr>
            <w:rStyle w:val="Hyperlink"/>
          </w:rPr>
          <w:t xml:space="preserve">Kasichayanula 2013</w:t>
        </w:r>
      </w:hyperlink>
      <w:r>
        <w:t xml:space="preserve">).</w:t>
      </w:r>
    </w:p>
    <w:tbl>
      <w:tblPr>
        <w:tblStyle w:val="Table"/>
        <w:tblW w:type="pct" w:w="5000"/>
        <w:tblLook w:firstRow="1" w:lastRow="0" w:firstColumn="0" w:lastColumn="0" w:noHBand="0" w:noVBand="0" w:val="0020"/>
        <w:jc w:val="start"/>
      </w:tblPr>
      <w:tblGrid>
        <w:gridCol w:w="346"/>
        <w:gridCol w:w="346"/>
        <w:gridCol w:w="1734"/>
        <w:gridCol w:w="3468"/>
        <w:gridCol w:w="202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642</w:t>
            </w:r>
          </w:p>
        </w:tc>
        <w:tc>
          <w:tcPr/>
          <w:p>
            <w:pPr>
              <w:pStyle w:val="Compact"/>
              <w:jc w:val="left"/>
            </w:pPr>
            <w:r>
              <w:t xml:space="preserve">UGT1A9</w:t>
            </w:r>
          </w:p>
        </w:tc>
        <w:tc>
          <w:tcPr/>
          <w:p>
            <w:pPr>
              <w:pStyle w:val="Compact"/>
              <w:jc w:val="left"/>
            </w:pPr>
            <w:r>
              <w:t xml:space="preserve">Mefenamic acid / dapagliflozin</w:t>
            </w:r>
          </w:p>
        </w:tc>
        <w:tc>
          <w:tcPr/>
          <w:p>
            <w:pPr>
              <w:pStyle w:val="Compact"/>
              <w:jc w:val="left"/>
            </w:pPr>
            <w:r>
              <w:t xml:space="preserve">Mefenamic acid: 500 mg loading dose, followed by 8 doses of 250 mg mefenamic acid every 6 hours</w:t>
            </w:r>
            <w:r>
              <w:t xml:space="preserve">Dapagliflozin: 10 mg single dose on day 2 simultaneous with the 5th dose of mefenamic acid (24 hours after the first mefenamic acid dose)</w:t>
            </w:r>
          </w:p>
        </w:tc>
        <w:tc>
          <w:tcPr/>
          <w:p>
            <w:pPr>
              <w:pStyle w:val="Compact"/>
              <w:jc w:val="left"/>
            </w:pPr>
            <w:hyperlink w:anchor="X47fcd2a435082ab139852f996095019cfce88d0">
              <w:r>
                <w:rPr>
                  <w:rStyle w:val="Hyperlink"/>
                </w:rPr>
                <w:t xml:space="preserve">Kasichayanula 2013</w:t>
              </w:r>
            </w:hyperlink>
          </w:p>
        </w:tc>
      </w:tr>
    </w:tbl>
    <w:p>
      <w:pPr>
        <w:pStyle w:val="BodyText"/>
      </w:pPr>
    </w:p>
    <w:bookmarkEnd w:id="23"/>
    <w:bookmarkEnd w:id="24"/>
    <w:bookmarkEnd w:id="25"/>
    <w:bookmarkStart w:id="106" w:name="Xc6c989acc708855b83113843b59b63aeabd2dc0"/>
    <w:p>
      <w:pPr>
        <w:pStyle w:val="Heading1"/>
      </w:pPr>
      <w:r>
        <w:t xml:space="preserve">2 Qualification of Use Case UGT-mediated DDI</w:t>
      </w:r>
    </w:p>
    <w:p>
      <w:r>
        <w:br w:type="page"/>
      </w:r>
      <w:r>
        <w:bookmarkStart w:id="figure-2-1" w:name="figure-2-1"/>
        <w:bookmarkEnd w:id="figure-2-1"/>
      </w:r>
    </w:p>
    <w:p>
      <w:pPr>
        <w:pStyle w:val="FirstParagraph"/>
      </w:pPr>
    </w:p>
    <w:p>
      <w:pPr>
        <w:pStyle w:val="BodyText"/>
      </w:pPr>
      <w:r>
        <w:rPr>
          <w:bCs/>
          <w:b/>
        </w:rPr>
        <w:t xml:space="preserve">Figure 2-1: UGT1A1 and UGT1A9 Inhibition DDI. Predicted vs. Observed AUC_tEnd Ratio.</w:t>
      </w:r>
    </w:p>
    <w:p>
      <w:pPr>
        <w:pStyle w:val="BodyText"/>
      </w:pPr>
      <w:r>
        <w:drawing>
          <wp:inline>
            <wp:extent cx="5969000" cy="2903178"/>
            <wp:effectExtent b="0" l="0" r="0" t="0"/>
            <wp:docPr descr="" title="" id="27" name="Picture"/>
            <a:graphic>
              <a:graphicData uri="http://schemas.openxmlformats.org/drawingml/2006/picture">
                <pic:pic>
                  <pic:nvPicPr>
                    <pic:cNvPr descr="images/006_section_2/DDIRatio_1_ddi_ratio_plot_AUC_tEnd_predictedVsObserved.png" id="28" name="Picture"/>
                    <pic:cNvPicPr>
                      <a:picLocks noChangeArrowheads="1" noChangeAspect="1"/>
                    </pic:cNvPicPr>
                  </pic:nvPicPr>
                  <pic:blipFill>
                    <a:blip r:embed="rId26"/>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2" w:name="figure-2-2"/>
        <w:bookmarkEnd w:id="figure-2-2"/>
      </w:r>
    </w:p>
    <w:p>
      <w:pPr>
        <w:pStyle w:val="BodyText"/>
      </w:pPr>
    </w:p>
    <w:p>
      <w:pPr>
        <w:pStyle w:val="BodyText"/>
      </w:pPr>
      <w:r>
        <w:rPr>
          <w:bCs/>
          <w:b/>
        </w:rPr>
        <w:t xml:space="preserve">Figure 2-2: UGT1A1 and UGT1A9 Inhibition DDI. Predicted/Observed vs. Observed AUC_tEnd Ratio.</w:t>
      </w:r>
    </w:p>
    <w:p>
      <w:pPr>
        <w:pStyle w:val="BodyText"/>
      </w:pPr>
      <w:r>
        <w:drawing>
          <wp:inline>
            <wp:extent cx="5969000" cy="2903178"/>
            <wp:effectExtent b="0" l="0" r="0" t="0"/>
            <wp:docPr descr="" title="" id="30" name="Picture"/>
            <a:graphic>
              <a:graphicData uri="http://schemas.openxmlformats.org/drawingml/2006/picture">
                <pic:pic>
                  <pic:nvPicPr>
                    <pic:cNvPr descr="images/006_section_2/DDIRatio_1_ddi_ratio_plot_AUC_tEnd_residualsVsObserved.png" id="31" name="Picture"/>
                    <pic:cNvPicPr>
                      <a:picLocks noChangeArrowheads="1" noChangeAspect="1"/>
                    </pic:cNvPicPr>
                  </pic:nvPicPr>
                  <pic:blipFill>
                    <a:blip r:embed="rId29"/>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3" w:name="figure-2-3"/>
        <w:bookmarkEnd w:id="figure-2-3"/>
      </w:r>
    </w:p>
    <w:p>
      <w:pPr>
        <w:pStyle w:val="BodyText"/>
      </w:pPr>
    </w:p>
    <w:p>
      <w:pPr>
        <w:pStyle w:val="BodyText"/>
      </w:pPr>
      <w:r>
        <w:rPr>
          <w:bCs/>
          <w:b/>
        </w:rPr>
        <w:t xml:space="preserve">Figure 2-3: UGT1A1 and UGT1A9 Inhibition DDI. Predicted vs. Observed CMAX Ratio.</w:t>
      </w:r>
    </w:p>
    <w:p>
      <w:pPr>
        <w:pStyle w:val="BodyText"/>
      </w:pPr>
      <w:r>
        <w:drawing>
          <wp:inline>
            <wp:extent cx="5969000" cy="2903178"/>
            <wp:effectExtent b="0" l="0" r="0" t="0"/>
            <wp:docPr descr="" title="" id="33" name="Picture"/>
            <a:graphic>
              <a:graphicData uri="http://schemas.openxmlformats.org/drawingml/2006/picture">
                <pic:pic>
                  <pic:nvPicPr>
                    <pic:cNvPr descr="images/006_section_2/DDIRatio_1_ddi_ratio_plot_CMAX_predictedVsObserved.png" id="34" name="Picture"/>
                    <pic:cNvPicPr>
                      <a:picLocks noChangeArrowheads="1" noChangeAspect="1"/>
                    </pic:cNvPicPr>
                  </pic:nvPicPr>
                  <pic:blipFill>
                    <a:blip r:embed="rId32"/>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4" w:name="figure-2-4"/>
        <w:bookmarkEnd w:id="figure-2-4"/>
      </w:r>
    </w:p>
    <w:p>
      <w:pPr>
        <w:pStyle w:val="BodyText"/>
      </w:pPr>
    </w:p>
    <w:p>
      <w:pPr>
        <w:pStyle w:val="BodyText"/>
      </w:pPr>
      <w:r>
        <w:rPr>
          <w:bCs/>
          <w:b/>
        </w:rPr>
        <w:t xml:space="preserve">Figure 2-4: UGT1A1 and UGT1A9 Inhibition DDI. Predicted/Observed vs. Observed CMAX Ratio.</w:t>
      </w:r>
    </w:p>
    <w:p>
      <w:pPr>
        <w:pStyle w:val="BodyText"/>
      </w:pPr>
      <w:r>
        <w:drawing>
          <wp:inline>
            <wp:extent cx="5969000" cy="2903178"/>
            <wp:effectExtent b="0" l="0" r="0" t="0"/>
            <wp:docPr descr="" title="" id="36" name="Picture"/>
            <a:graphic>
              <a:graphicData uri="http://schemas.openxmlformats.org/drawingml/2006/picture">
                <pic:pic>
                  <pic:nvPicPr>
                    <pic:cNvPr descr="images/006_section_2/DDIRatio_1_ddi_ratio_plot_CMAX_residualsVsObserved.png" id="37" name="Picture"/>
                    <pic:cNvPicPr>
                      <a:picLocks noChangeArrowheads="1" noChangeAspect="1"/>
                    </pic:cNvPicPr>
                  </pic:nvPicPr>
                  <pic:blipFill>
                    <a:blip r:embed="rId35"/>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table-2-1" w:name="table-2-1"/>
        <w:bookmarkEnd w:id="table-2-1"/>
      </w:r>
    </w:p>
    <w:p>
      <w:pPr>
        <w:pStyle w:val="BodyText"/>
      </w:pPr>
    </w:p>
    <w:p>
      <w:pPr>
        <w:pStyle w:val="BodyText"/>
      </w:pPr>
      <w:r>
        <w:rPr>
          <w:bCs/>
          <w:b/>
        </w:rPr>
        <w:t xml:space="preserve">Table 2-1: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AUC_tEnd</w:t>
            </w:r>
          </w:p>
        </w:tc>
        <w:tc>
          <w:tcPr/>
          <w:p>
            <w:pPr>
              <w:pStyle w:val="Compact"/>
              <w:jc w:val="left"/>
            </w:pPr>
            <w:r>
              <w:t xml:space="preserve">1.13</w:t>
            </w:r>
          </w:p>
        </w:tc>
      </w:tr>
      <w:tr>
        <w:tc>
          <w:tcPr/>
          <w:p>
            <w:pPr>
              <w:pStyle w:val="Compact"/>
              <w:jc w:val="left"/>
            </w:pPr>
            <w:r>
              <w:t xml:space="preserve">CMAX</w:t>
            </w:r>
          </w:p>
        </w:tc>
        <w:tc>
          <w:tcPr/>
          <w:p>
            <w:pPr>
              <w:pStyle w:val="Compact"/>
              <w:jc w:val="left"/>
            </w:pPr>
            <w:r>
              <w:t xml:space="preserve">1.10</w:t>
            </w:r>
          </w:p>
        </w:tc>
      </w:tr>
    </w:tbl>
    <w:p>
      <w:pPr>
        <w:pStyle w:val="BodyText"/>
      </w:pPr>
      <w:r>
        <w:t xml:space="preserve"> </w:t>
      </w:r>
    </w:p>
    <w:p>
      <w:r>
        <w:br w:type="page"/>
      </w:r>
      <w:r>
        <w:bookmarkStart w:id="table-2-2" w:name="table-2-2"/>
        <w:bookmarkEnd w:id="table-2-2"/>
      </w:r>
    </w:p>
    <w:p>
      <w:pPr>
        <w:pStyle w:val="BodyText"/>
      </w:pPr>
    </w:p>
    <w:p>
      <w:pPr>
        <w:pStyle w:val="BodyText"/>
      </w:pPr>
      <w:r>
        <w:rPr>
          <w:bCs/>
          <w:b/>
        </w:rPr>
        <w:t xml:space="preserve">Table 2-2: Summary table for UGT1A1 and UGT1A9 Inhibition DDI - AUC_tEnd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AUC_tEnd</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r>
        <w:br w:type="page"/>
      </w:r>
      <w:r>
        <w:bookmarkStart w:id="table-2-3" w:name="table-2-3"/>
        <w:bookmarkEnd w:id="table-2-3"/>
      </w:r>
    </w:p>
    <w:p>
      <w:pPr>
        <w:pStyle w:val="BodyText"/>
      </w:pPr>
    </w:p>
    <w:p>
      <w:pPr>
        <w:pStyle w:val="BodyText"/>
      </w:pPr>
      <w:r>
        <w:rPr>
          <w:bCs/>
          <w:b/>
        </w:rPr>
        <w:t xml:space="preserve">Table 2-3: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80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r>
        <w:br w:type="page"/>
      </w:r>
      <w:r>
        <w:bookmarkStart w:id="table-2-4" w:name="table-2-4"/>
        <w:bookmarkEnd w:id="table-2-4"/>
      </w:r>
    </w:p>
    <w:p>
      <w:pPr>
        <w:pStyle w:val="BodyText"/>
      </w:pPr>
    </w:p>
    <w:p>
      <w:pPr>
        <w:pStyle w:val="BodyText"/>
      </w:pPr>
      <w:r>
        <w:rPr>
          <w:bCs/>
          <w:b/>
        </w:rPr>
        <w:t xml:space="preserve">Table 2-4: Summary table for UGT1A1 and UGT1A9 Inhibition DDI</w:t>
      </w:r>
    </w:p>
    <w:tbl>
      <w:tblPr>
        <w:tblStyle w:val="Table"/>
        <w:tblW w:type="pct" w:w="5000"/>
        <w:tblLook w:firstRow="1" w:lastRow="0" w:firstColumn="0" w:lastColumn="0" w:noHBand="0" w:noVBand="0" w:val="0020"/>
        <w:jc w:val="start"/>
      </w:tblPr>
      <w:tblGrid>
        <w:gridCol w:w="211"/>
        <w:gridCol w:w="2509"/>
        <w:gridCol w:w="544"/>
        <w:gridCol w:w="755"/>
        <w:gridCol w:w="725"/>
        <w:gridCol w:w="725"/>
        <w:gridCol w:w="634"/>
        <w:gridCol w:w="604"/>
        <w:gridCol w:w="604"/>
        <w:gridCol w:w="604"/>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AUC_tEnd Ratio</w:t>
            </w:r>
          </w:p>
        </w:tc>
        <w:tc>
          <w:tcPr/>
          <w:p>
            <w:pPr>
              <w:pStyle w:val="Compact"/>
              <w:jc w:val="left"/>
            </w:pPr>
            <w:r>
              <w:t xml:space="preserve">Observed AUC_tEnd Ratio</w:t>
            </w:r>
          </w:p>
        </w:tc>
        <w:tc>
          <w:tcPr/>
          <w:p>
            <w:pPr>
              <w:pStyle w:val="Compact"/>
              <w:jc w:val="left"/>
            </w:pPr>
            <w:r>
              <w:t xml:space="preserve">Pred/Obs AUC_tEnd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571</w:t>
            </w:r>
          </w:p>
        </w:tc>
        <w:tc>
          <w:tcPr/>
          <w:p>
            <w:pPr>
              <w:pStyle w:val="Compact"/>
              <w:jc w:val="left"/>
            </w:pPr>
            <w:r>
              <w:t xml:space="preserve">Atazanavir, 400 mg, PO, MD OD (9 days)</w:t>
            </w:r>
          </w:p>
        </w:tc>
        <w:tc>
          <w:tcPr/>
          <w:p>
            <w:pPr>
              <w:pStyle w:val="Compact"/>
              <w:jc w:val="left"/>
            </w:pPr>
            <w:r>
              <w:t xml:space="preserve">Raltegravir, PO</w:t>
            </w:r>
          </w:p>
        </w:tc>
        <w:tc>
          <w:tcPr/>
          <w:p>
            <w:pPr>
              <w:pStyle w:val="Compact"/>
              <w:jc w:val="left"/>
            </w:pPr>
            <w:r>
              <w:t xml:space="preserve">1.45</w:t>
            </w:r>
          </w:p>
        </w:tc>
        <w:tc>
          <w:tcPr/>
          <w:p>
            <w:pPr>
              <w:pStyle w:val="Compact"/>
              <w:jc w:val="left"/>
            </w:pPr>
            <w:r>
              <w:t xml:space="preserve">1.72</w:t>
            </w:r>
          </w:p>
        </w:tc>
        <w:tc>
          <w:tcPr/>
          <w:p>
            <w:pPr>
              <w:pStyle w:val="Compact"/>
              <w:jc w:val="left"/>
            </w:pPr>
            <w:r>
              <w:t xml:space="preserve">0.84</w:t>
            </w:r>
          </w:p>
        </w:tc>
        <w:tc>
          <w:tcPr/>
          <w:p>
            <w:pPr>
              <w:pStyle w:val="Compact"/>
              <w:jc w:val="left"/>
            </w:pPr>
            <w:r>
              <w:t xml:space="preserve">1.35</w:t>
            </w:r>
          </w:p>
        </w:tc>
        <w:tc>
          <w:tcPr/>
          <w:p>
            <w:pPr>
              <w:pStyle w:val="Compact"/>
              <w:jc w:val="left"/>
            </w:pPr>
            <w:r>
              <w:t xml:space="preserve">1.53</w:t>
            </w:r>
          </w:p>
        </w:tc>
        <w:tc>
          <w:tcPr/>
          <w:p>
            <w:pPr>
              <w:pStyle w:val="Compact"/>
              <w:jc w:val="left"/>
            </w:pPr>
            <w:r>
              <w:t xml:space="preserve">0.89</w:t>
            </w:r>
          </w:p>
        </w:tc>
        <w:tc>
          <w:tcPr/>
          <w:p>
            <w:pPr>
              <w:pStyle w:val="Compact"/>
              <w:jc w:val="left"/>
            </w:pPr>
            <w:r>
              <w:t xml:space="preserve">Iwamoto 2008</w:t>
            </w:r>
          </w:p>
        </w:tc>
      </w:tr>
      <w:tr>
        <w:tc>
          <w:tcPr/>
          <w:p>
            <w:pPr>
              <w:pStyle w:val="Compact"/>
              <w:jc w:val="left"/>
            </w:pPr>
            <w:r>
              <w:t xml:space="preserve">573</w:t>
            </w:r>
          </w:p>
        </w:tc>
        <w:tc>
          <w:tcPr/>
          <w:p>
            <w:pPr>
              <w:pStyle w:val="Compact"/>
              <w:jc w:val="left"/>
            </w:pPr>
            <w:r>
              <w:t xml:space="preserve">Atazanavir, 400 mg, PO, MD OD (8 days)</w:t>
            </w:r>
          </w:p>
        </w:tc>
        <w:tc>
          <w:tcPr/>
          <w:p>
            <w:pPr>
              <w:pStyle w:val="Compact"/>
              <w:jc w:val="left"/>
            </w:pPr>
            <w:r>
              <w:t xml:space="preserve">Raltegravir, PO</w:t>
            </w:r>
          </w:p>
        </w:tc>
        <w:tc>
          <w:tcPr/>
          <w:p>
            <w:pPr>
              <w:pStyle w:val="Compact"/>
              <w:jc w:val="left"/>
            </w:pPr>
            <w:r>
              <w:t xml:space="preserve">1.44</w:t>
            </w:r>
          </w:p>
        </w:tc>
        <w:tc>
          <w:tcPr/>
          <w:p>
            <w:pPr>
              <w:pStyle w:val="Compact"/>
              <w:jc w:val="left"/>
            </w:pPr>
            <w:r>
              <w:t xml:space="preserve">1.72</w:t>
            </w:r>
          </w:p>
        </w:tc>
        <w:tc>
          <w:tcPr/>
          <w:p>
            <w:pPr>
              <w:pStyle w:val="Compact"/>
              <w:jc w:val="left"/>
            </w:pPr>
            <w:r>
              <w:t xml:space="preserve">0.84</w:t>
            </w:r>
          </w:p>
        </w:tc>
        <w:tc>
          <w:tcPr/>
          <w:p>
            <w:pPr>
              <w:pStyle w:val="Compact"/>
              <w:jc w:val="left"/>
            </w:pPr>
            <w:r>
              <w:t xml:space="preserve">1.12</w:t>
            </w:r>
          </w:p>
        </w:tc>
        <w:tc>
          <w:tcPr/>
          <w:p>
            <w:pPr>
              <w:pStyle w:val="Compact"/>
              <w:jc w:val="left"/>
            </w:pPr>
            <w:r>
              <w:t xml:space="preserve">1.37</w:t>
            </w:r>
          </w:p>
        </w:tc>
        <w:tc>
          <w:tcPr/>
          <w:p>
            <w:pPr>
              <w:pStyle w:val="Compact"/>
              <w:jc w:val="left"/>
            </w:pPr>
            <w:r>
              <w:t xml:space="preserve">0.82</w:t>
            </w:r>
          </w:p>
        </w:tc>
        <w:tc>
          <w:tcPr/>
          <w:p>
            <w:pPr>
              <w:pStyle w:val="Compact"/>
              <w:jc w:val="left"/>
            </w:pPr>
            <w:r>
              <w:t xml:space="preserve">Neely 2010</w:t>
            </w:r>
          </w:p>
        </w:tc>
      </w:tr>
      <w:tr>
        <w:tc>
          <w:tcPr/>
          <w:p>
            <w:pPr>
              <w:pStyle w:val="Compact"/>
              <w:jc w:val="left"/>
            </w:pPr>
            <w:r>
              <w:t xml:space="preserve">575</w:t>
            </w:r>
          </w:p>
        </w:tc>
        <w:tc>
          <w:tcPr/>
          <w:p>
            <w:pPr>
              <w:pStyle w:val="Compact"/>
              <w:jc w:val="left"/>
            </w:pPr>
            <w:r>
              <w:t xml:space="preserve">Atazanavir, 400 mg, PO, MD OD (9 days)</w:t>
            </w:r>
          </w:p>
        </w:tc>
        <w:tc>
          <w:tcPr/>
          <w:p>
            <w:pPr>
              <w:pStyle w:val="Compact"/>
              <w:jc w:val="left"/>
            </w:pPr>
            <w:r>
              <w:t xml:space="preserve">Raltegravir, PO</w:t>
            </w:r>
          </w:p>
        </w:tc>
        <w:tc>
          <w:tcPr/>
          <w:p>
            <w:pPr>
              <w:pStyle w:val="Compact"/>
              <w:jc w:val="left"/>
            </w:pPr>
            <w:r>
              <w:t xml:space="preserve">1.42</w:t>
            </w:r>
          </w:p>
        </w:tc>
        <w:tc>
          <w:tcPr/>
          <w:p>
            <w:pPr>
              <w:pStyle w:val="Compact"/>
              <w:jc w:val="left"/>
            </w:pPr>
            <w:r>
              <w:t xml:space="preserve">1.67</w:t>
            </w:r>
          </w:p>
        </w:tc>
        <w:tc>
          <w:tcPr/>
          <w:p>
            <w:pPr>
              <w:pStyle w:val="Compact"/>
              <w:jc w:val="left"/>
            </w:pPr>
            <w:r>
              <w:t xml:space="preserve">0.85</w:t>
            </w:r>
          </w:p>
        </w:tc>
        <w:tc>
          <w:tcPr/>
          <w:p>
            <w:pPr>
              <w:pStyle w:val="Compact"/>
              <w:jc w:val="left"/>
            </w:pPr>
            <w:r>
              <w:t xml:space="preserve">1.33</w:t>
            </w:r>
          </w:p>
        </w:tc>
        <w:tc>
          <w:tcPr/>
          <w:p>
            <w:pPr>
              <w:pStyle w:val="Compact"/>
              <w:jc w:val="left"/>
            </w:pPr>
            <w:r>
              <w:t xml:space="preserve">1.16</w:t>
            </w:r>
          </w:p>
        </w:tc>
        <w:tc>
          <w:tcPr/>
          <w:p>
            <w:pPr>
              <w:pStyle w:val="Compact"/>
              <w:jc w:val="left"/>
            </w:pPr>
            <w:r>
              <w:t xml:space="preserve">1.15</w:t>
            </w:r>
          </w:p>
        </w:tc>
        <w:tc>
          <w:tcPr/>
          <w:p>
            <w:pPr>
              <w:pStyle w:val="Compact"/>
              <w:jc w:val="left"/>
            </w:pPr>
            <w:r>
              <w:t xml:space="preserve">Krishna 2016</w:t>
            </w:r>
          </w:p>
        </w:tc>
      </w:tr>
      <w:tr>
        <w:tc>
          <w:tcPr/>
          <w:p>
            <w:pPr>
              <w:pStyle w:val="Compact"/>
              <w:jc w:val="left"/>
            </w:pPr>
            <w:r>
              <w:t xml:space="preserve">579</w:t>
            </w:r>
          </w:p>
        </w:tc>
        <w:tc>
          <w:tcPr/>
          <w:p>
            <w:pPr>
              <w:pStyle w:val="Compact"/>
              <w:jc w:val="left"/>
            </w:pPr>
            <w:r>
              <w:t xml:space="preserve">Atazanavir, 400 mg, PO, MD BID (14 days)</w:t>
            </w:r>
          </w:p>
        </w:tc>
        <w:tc>
          <w:tcPr/>
          <w:p>
            <w:pPr>
              <w:pStyle w:val="Compact"/>
              <w:jc w:val="left"/>
            </w:pPr>
            <w:r>
              <w:t xml:space="preserve">Raltegravir, PO</w:t>
            </w:r>
          </w:p>
        </w:tc>
        <w:tc>
          <w:tcPr/>
          <w:p>
            <w:pPr>
              <w:pStyle w:val="Compact"/>
              <w:jc w:val="left"/>
            </w:pPr>
            <w:r>
              <w:t xml:space="preserve">1.57</w:t>
            </w:r>
          </w:p>
        </w:tc>
        <w:tc>
          <w:tcPr/>
          <w:p>
            <w:pPr>
              <w:pStyle w:val="Compact"/>
              <w:jc w:val="left"/>
            </w:pPr>
            <w:r>
              <w:t xml:space="preserve">1.54</w:t>
            </w:r>
          </w:p>
        </w:tc>
        <w:tc>
          <w:tcPr/>
          <w:p>
            <w:pPr>
              <w:pStyle w:val="Compact"/>
              <w:jc w:val="left"/>
            </w:pPr>
            <w:r>
              <w:t xml:space="preserve">1.02</w:t>
            </w:r>
          </w:p>
        </w:tc>
        <w:tc>
          <w:tcPr/>
          <w:p>
            <w:pPr>
              <w:pStyle w:val="Compact"/>
              <w:jc w:val="left"/>
            </w:pPr>
            <w:r>
              <w:t xml:space="preserve">1.39</w:t>
            </w:r>
          </w:p>
        </w:tc>
        <w:tc>
          <w:tcPr/>
          <w:p>
            <w:pPr>
              <w:pStyle w:val="Compact"/>
              <w:jc w:val="left"/>
            </w:pPr>
            <w:r>
              <w:t xml:space="preserve">1.39</w:t>
            </w:r>
          </w:p>
        </w:tc>
        <w:tc>
          <w:tcPr/>
          <w:p>
            <w:pPr>
              <w:pStyle w:val="Compact"/>
              <w:jc w:val="left"/>
            </w:pPr>
            <w:r>
              <w:t xml:space="preserve">1.00</w:t>
            </w:r>
          </w:p>
        </w:tc>
        <w:tc>
          <w:tcPr/>
          <w:p>
            <w:pPr>
              <w:pStyle w:val="Compact"/>
              <w:jc w:val="left"/>
            </w:pPr>
            <w:r>
              <w:t xml:space="preserve">Zhu 2010</w:t>
            </w:r>
          </w:p>
        </w:tc>
      </w:tr>
      <w:tr>
        <w:tc>
          <w:tcPr/>
          <w:p>
            <w:pPr>
              <w:pStyle w:val="Compact"/>
              <w:jc w:val="left"/>
            </w:pPr>
            <w:r>
              <w:t xml:space="preserve">642</w:t>
            </w:r>
          </w:p>
        </w:tc>
        <w:tc>
          <w:tcPr/>
          <w:p>
            <w:pPr>
              <w:pStyle w:val="Compact"/>
              <w:jc w:val="left"/>
            </w:pPr>
            <w:r>
              <w:t xml:space="preserve">Mefenamic Acid, 500 / 250 mg, PO, MD QID (4 days) with first dose ad loading dose</w:t>
            </w:r>
          </w:p>
        </w:tc>
        <w:tc>
          <w:tcPr/>
          <w:p>
            <w:pPr>
              <w:pStyle w:val="Compact"/>
              <w:jc w:val="left"/>
            </w:pPr>
            <w:r>
              <w:t xml:space="preserve">Dapagliflozin, PO</w:t>
            </w:r>
          </w:p>
        </w:tc>
        <w:tc>
          <w:tcPr/>
          <w:p>
            <w:pPr>
              <w:pStyle w:val="Compact"/>
              <w:jc w:val="left"/>
            </w:pPr>
            <w:r>
              <w:t xml:space="preserve">1.41</w:t>
            </w:r>
          </w:p>
        </w:tc>
        <w:tc>
          <w:tcPr/>
          <w:p>
            <w:pPr>
              <w:pStyle w:val="Compact"/>
              <w:jc w:val="left"/>
            </w:pPr>
            <w:r>
              <w:t xml:space="preserve">1.51</w:t>
            </w:r>
          </w:p>
        </w:tc>
        <w:tc>
          <w:tcPr/>
          <w:p>
            <w:pPr>
              <w:pStyle w:val="Compact"/>
              <w:jc w:val="left"/>
            </w:pPr>
            <w:r>
              <w:t xml:space="preserve">0.93</w:t>
            </w:r>
          </w:p>
        </w:tc>
        <w:tc>
          <w:tcPr/>
          <w:p>
            <w:pPr>
              <w:pStyle w:val="Compact"/>
              <w:jc w:val="left"/>
            </w:pPr>
            <w:r>
              <w:t xml:space="preserve">1.16</w:t>
            </w:r>
          </w:p>
        </w:tc>
        <w:tc>
          <w:tcPr/>
          <w:p>
            <w:pPr>
              <w:pStyle w:val="Compact"/>
              <w:jc w:val="left"/>
            </w:pPr>
            <w:r>
              <w:t xml:space="preserve">1.13</w:t>
            </w:r>
          </w:p>
        </w:tc>
        <w:tc>
          <w:tcPr/>
          <w:p>
            <w:pPr>
              <w:pStyle w:val="Compact"/>
              <w:jc w:val="left"/>
            </w:pPr>
            <w:r>
              <w:t xml:space="preserve">1.02</w:t>
            </w:r>
          </w:p>
        </w:tc>
        <w:tc>
          <w:tcPr/>
          <w:p>
            <w:pPr>
              <w:pStyle w:val="Compact"/>
              <w:jc w:val="left"/>
            </w:pPr>
            <w:r>
              <w:t xml:space="preserve">Kasichayanula 2013a</w:t>
            </w:r>
          </w:p>
        </w:tc>
      </w:tr>
    </w:tbl>
    <w:p>
      <w:pPr>
        <w:pStyle w:val="BodyText"/>
      </w:pPr>
      <w:r>
        <w:t xml:space="preserve"> </w:t>
      </w:r>
    </w:p>
    <w:p>
      <w:pPr>
        <w:pStyle w:val="BodyText"/>
      </w:pPr>
    </w:p>
    <w:bookmarkStart w:id="51" w:name="mechanism"/>
    <w:p>
      <w:pPr>
        <w:pStyle w:val="Heading2"/>
      </w:pPr>
      <w:r>
        <w:t xml:space="preserve">Mechanism</w:t>
      </w:r>
    </w:p>
    <w:p>
      <w:pPr>
        <w:pStyle w:val="FirstParagraph"/>
      </w:pPr>
    </w:p>
    <w:bookmarkStart w:id="50" w:name="reversible-inhibition"/>
    <w:p>
      <w:pPr>
        <w:pStyle w:val="Heading3"/>
      </w:pPr>
      <w:r>
        <w:t xml:space="preserve">Reversible Inhibition</w:t>
      </w:r>
    </w:p>
    <w:p>
      <w:r>
        <w:br w:type="page"/>
      </w:r>
      <w:r>
        <w:bookmarkStart w:id="figure-2-5" w:name="figure-2-5"/>
        <w:bookmarkEnd w:id="figure-2-5"/>
      </w:r>
    </w:p>
    <w:p>
      <w:pPr>
        <w:pStyle w:val="FirstParagraph"/>
      </w:pPr>
    </w:p>
    <w:p>
      <w:pPr>
        <w:pStyle w:val="BodyText"/>
      </w:pPr>
      <w:r>
        <w:rPr>
          <w:bCs/>
          <w:b/>
        </w:rPr>
        <w:t xml:space="preserve">Figure 2-5: UGT1A1 and UGT1A9 Inhibition DDI. Mechanism: Reversible Inhibition. Predicted vs. Observed AUC_tEnd Ratio.</w:t>
      </w:r>
    </w:p>
    <w:p>
      <w:pPr>
        <w:pStyle w:val="BodyText"/>
      </w:pPr>
      <w:r>
        <w:drawing>
          <wp:inline>
            <wp:extent cx="5969000" cy="2903178"/>
            <wp:effectExtent b="0" l="0" r="0" t="0"/>
            <wp:docPr descr="" title="" id="39" name="Picture"/>
            <a:graphic>
              <a:graphicData uri="http://schemas.openxmlformats.org/drawingml/2006/picture">
                <pic:pic>
                  <pic:nvPicPr>
                    <pic:cNvPr descr="images/006_section_2/DDIRatio_1_mechanism_Reversible_Inhibition_ddi_ratio_plot_AUC_tEnd_predictedVsObserved.png" id="40" name="Picture"/>
                    <pic:cNvPicPr>
                      <a:picLocks noChangeArrowheads="1" noChangeAspect="1"/>
                    </pic:cNvPicPr>
                  </pic:nvPicPr>
                  <pic:blipFill>
                    <a:blip r:embed="rId38"/>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6" w:name="figure-2-6"/>
        <w:bookmarkEnd w:id="figure-2-6"/>
      </w:r>
    </w:p>
    <w:p>
      <w:pPr>
        <w:pStyle w:val="BodyText"/>
      </w:pPr>
    </w:p>
    <w:p>
      <w:pPr>
        <w:pStyle w:val="BodyText"/>
      </w:pPr>
      <w:r>
        <w:rPr>
          <w:bCs/>
          <w:b/>
        </w:rPr>
        <w:t xml:space="preserve">Figure 2-6: UGT1A1 and UGT1A9 Inhibition DDI. Mechanism: Reversible Inhibition. Predicted/Observed vs. Observed AUC_tEnd Ratio.</w:t>
      </w:r>
    </w:p>
    <w:p>
      <w:pPr>
        <w:pStyle w:val="BodyText"/>
      </w:pPr>
      <w:r>
        <w:drawing>
          <wp:inline>
            <wp:extent cx="5969000" cy="2903178"/>
            <wp:effectExtent b="0" l="0" r="0" t="0"/>
            <wp:docPr descr="" title="" id="42" name="Picture"/>
            <a:graphic>
              <a:graphicData uri="http://schemas.openxmlformats.org/drawingml/2006/picture">
                <pic:pic>
                  <pic:nvPicPr>
                    <pic:cNvPr descr="images/006_section_2/DDIRatio_1_mechanism_Reversible_Inhibition_ddi_ratio_plot_AUC_tEnd_residualsVsObserved.png" id="43" name="Picture"/>
                    <pic:cNvPicPr>
                      <a:picLocks noChangeArrowheads="1" noChangeAspect="1"/>
                    </pic:cNvPicPr>
                  </pic:nvPicPr>
                  <pic:blipFill>
                    <a:blip r:embed="rId41"/>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7" w:name="figure-2-7"/>
        <w:bookmarkEnd w:id="figure-2-7"/>
      </w:r>
    </w:p>
    <w:p>
      <w:pPr>
        <w:pStyle w:val="BodyText"/>
      </w:pPr>
    </w:p>
    <w:p>
      <w:pPr>
        <w:pStyle w:val="BodyText"/>
      </w:pPr>
      <w:r>
        <w:rPr>
          <w:bCs/>
          <w:b/>
        </w:rPr>
        <w:t xml:space="preserve">Figure 2-7: UGT1A1 and UGT1A9 Inhibition DDI. Mechanism: Reversible Inhibition. Predicted vs. Observed CMAX Ratio.</w:t>
      </w:r>
    </w:p>
    <w:p>
      <w:pPr>
        <w:pStyle w:val="BodyText"/>
      </w:pPr>
      <w:r>
        <w:drawing>
          <wp:inline>
            <wp:extent cx="5969000" cy="2903178"/>
            <wp:effectExtent b="0" l="0" r="0" t="0"/>
            <wp:docPr descr="" title="" id="45" name="Picture"/>
            <a:graphic>
              <a:graphicData uri="http://schemas.openxmlformats.org/drawingml/2006/picture">
                <pic:pic>
                  <pic:nvPicPr>
                    <pic:cNvPr descr="images/006_section_2/DDIRatio_1_mechanism_Reversible_Inhibition_ddi_ratio_plot_CMAX_predictedVsObserved.png" id="46" name="Picture"/>
                    <pic:cNvPicPr>
                      <a:picLocks noChangeArrowheads="1" noChangeAspect="1"/>
                    </pic:cNvPicPr>
                  </pic:nvPicPr>
                  <pic:blipFill>
                    <a:blip r:embed="rId44"/>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8" w:name="figure-2-8"/>
        <w:bookmarkEnd w:id="figure-2-8"/>
      </w:r>
    </w:p>
    <w:p>
      <w:pPr>
        <w:pStyle w:val="BodyText"/>
      </w:pPr>
    </w:p>
    <w:p>
      <w:pPr>
        <w:pStyle w:val="BodyText"/>
      </w:pPr>
      <w:r>
        <w:rPr>
          <w:bCs/>
          <w:b/>
        </w:rPr>
        <w:t xml:space="preserve">Figure 2-8: UGT1A1 and UGT1A9 Inhibition DDI. Mechanism: Reversible Inhibition. Predicted/Observed vs. Observed CMAX Ratio.</w:t>
      </w:r>
    </w:p>
    <w:p>
      <w:pPr>
        <w:pStyle w:val="BodyText"/>
      </w:pPr>
      <w:r>
        <w:drawing>
          <wp:inline>
            <wp:extent cx="5969000" cy="2903178"/>
            <wp:effectExtent b="0" l="0" r="0" t="0"/>
            <wp:docPr descr="" title="" id="48" name="Picture"/>
            <a:graphic>
              <a:graphicData uri="http://schemas.openxmlformats.org/drawingml/2006/picture">
                <pic:pic>
                  <pic:nvPicPr>
                    <pic:cNvPr descr="images/006_section_2/DDIRatio_1_mechanism_Reversible_Inhibition_ddi_ratio_plot_CMAX_residualsVsObserved.png" id="49" name="Picture"/>
                    <pic:cNvPicPr>
                      <a:picLocks noChangeArrowheads="1" noChangeAspect="1"/>
                    </pic:cNvPicPr>
                  </pic:nvPicPr>
                  <pic:blipFill>
                    <a:blip r:embed="rId47"/>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table-2-5" w:name="table-2-5"/>
        <w:bookmarkEnd w:id="table-2-5"/>
      </w:r>
    </w:p>
    <w:p>
      <w:pPr>
        <w:pStyle w:val="BodyText"/>
      </w:pPr>
    </w:p>
    <w:p>
      <w:pPr>
        <w:pStyle w:val="BodyText"/>
      </w:pPr>
      <w:r>
        <w:rPr>
          <w:bCs/>
          <w:b/>
        </w:rPr>
        <w:t xml:space="preserve">Table 2-5: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AUC_tEnd</w:t>
            </w:r>
          </w:p>
        </w:tc>
        <w:tc>
          <w:tcPr/>
          <w:p>
            <w:pPr>
              <w:pStyle w:val="Compact"/>
              <w:jc w:val="left"/>
            </w:pPr>
            <w:r>
              <w:t xml:space="preserve">1.13</w:t>
            </w:r>
          </w:p>
        </w:tc>
      </w:tr>
      <w:tr>
        <w:tc>
          <w:tcPr/>
          <w:p>
            <w:pPr>
              <w:pStyle w:val="Compact"/>
              <w:jc w:val="left"/>
            </w:pPr>
            <w:r>
              <w:t xml:space="preserve">CMAX</w:t>
            </w:r>
          </w:p>
        </w:tc>
        <w:tc>
          <w:tcPr/>
          <w:p>
            <w:pPr>
              <w:pStyle w:val="Compact"/>
              <w:jc w:val="left"/>
            </w:pPr>
            <w:r>
              <w:t xml:space="preserve">1.10</w:t>
            </w:r>
          </w:p>
        </w:tc>
      </w:tr>
    </w:tbl>
    <w:p>
      <w:pPr>
        <w:pStyle w:val="BodyText"/>
      </w:pPr>
      <w:r>
        <w:t xml:space="preserve"> </w:t>
      </w:r>
    </w:p>
    <w:p>
      <w:r>
        <w:br w:type="page"/>
      </w:r>
      <w:r>
        <w:bookmarkStart w:id="table-2-6" w:name="table-2-6"/>
        <w:bookmarkEnd w:id="table-2-6"/>
      </w:r>
    </w:p>
    <w:p>
      <w:pPr>
        <w:pStyle w:val="BodyText"/>
      </w:pPr>
    </w:p>
    <w:p>
      <w:pPr>
        <w:pStyle w:val="BodyText"/>
      </w:pPr>
      <w:r>
        <w:rPr>
          <w:bCs/>
          <w:b/>
        </w:rPr>
        <w:t xml:space="preserve">Table 2-6: Summary table for UGT1A1 and UGT1A9 Inhibition DDI - AUC_tEnd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AUC_tEnd</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r>
        <w:br w:type="page"/>
      </w:r>
      <w:r>
        <w:bookmarkStart w:id="table-2-7" w:name="table-2-7"/>
        <w:bookmarkEnd w:id="table-2-7"/>
      </w:r>
    </w:p>
    <w:p>
      <w:pPr>
        <w:pStyle w:val="BodyText"/>
      </w:pPr>
    </w:p>
    <w:p>
      <w:pPr>
        <w:pStyle w:val="BodyText"/>
      </w:pPr>
      <w:r>
        <w:rPr>
          <w:bCs/>
          <w:b/>
        </w:rPr>
        <w:t xml:space="preserve">Table 2-7: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80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pPr>
        <w:pStyle w:val="BodyText"/>
      </w:pPr>
    </w:p>
    <w:bookmarkEnd w:id="50"/>
    <w:bookmarkEnd w:id="51"/>
    <w:bookmarkStart w:id="78" w:name="perpetrator"/>
    <w:p>
      <w:pPr>
        <w:pStyle w:val="Heading2"/>
      </w:pPr>
      <w:r>
        <w:t xml:space="preserve">Perpetrator</w:t>
      </w:r>
    </w:p>
    <w:p>
      <w:pPr>
        <w:pStyle w:val="FirstParagraph"/>
      </w:pPr>
    </w:p>
    <w:bookmarkStart w:id="64" w:name="atazanavir"/>
    <w:p>
      <w:pPr>
        <w:pStyle w:val="Heading3"/>
      </w:pPr>
      <w:r>
        <w:t xml:space="preserve">Atazanavir</w:t>
      </w:r>
    </w:p>
    <w:p>
      <w:r>
        <w:br w:type="page"/>
      </w:r>
      <w:r>
        <w:bookmarkStart w:id="figure-2-9" w:name="figure-2-9"/>
        <w:bookmarkEnd w:id="figure-2-9"/>
      </w:r>
    </w:p>
    <w:p>
      <w:pPr>
        <w:pStyle w:val="FirstParagraph"/>
      </w:pPr>
    </w:p>
    <w:p>
      <w:pPr>
        <w:pStyle w:val="BodyText"/>
      </w:pPr>
      <w:r>
        <w:rPr>
          <w:bCs/>
          <w:b/>
        </w:rPr>
        <w:t xml:space="preserve">Figure 2-9: UGT1A1 and UGT1A9 Inhibition DDI. Perpetrator: Atazanavir. Predicted vs. Observed AUC_tEnd Ratio.</w:t>
      </w:r>
    </w:p>
    <w:p>
      <w:pPr>
        <w:pStyle w:val="BodyText"/>
      </w:pPr>
      <w:r>
        <w:drawing>
          <wp:inline>
            <wp:extent cx="5969000" cy="3051663"/>
            <wp:effectExtent b="0" l="0" r="0" t="0"/>
            <wp:docPr descr="" title="" id="53" name="Picture"/>
            <a:graphic>
              <a:graphicData uri="http://schemas.openxmlformats.org/drawingml/2006/picture">
                <pic:pic>
                  <pic:nvPicPr>
                    <pic:cNvPr descr="images/006_section_2/DDIRatio_1_perpetrator_Atazanavir_ddi_ratio_plot_AUC_tEnd_predictedVsObserved.png" id="54" name="Picture"/>
                    <pic:cNvPicPr>
                      <a:picLocks noChangeArrowheads="1" noChangeAspect="1"/>
                    </pic:cNvPicPr>
                  </pic:nvPicPr>
                  <pic:blipFill>
                    <a:blip r:embed="rId52"/>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10" w:name="figure-2-10"/>
        <w:bookmarkEnd w:id="figure-2-10"/>
      </w:r>
    </w:p>
    <w:p>
      <w:pPr>
        <w:pStyle w:val="BodyText"/>
      </w:pPr>
    </w:p>
    <w:p>
      <w:pPr>
        <w:pStyle w:val="BodyText"/>
      </w:pPr>
      <w:r>
        <w:rPr>
          <w:bCs/>
          <w:b/>
        </w:rPr>
        <w:t xml:space="preserve">Figure 2-10: UGT1A1 and UGT1A9 Inhibition DDI. Perpetrator: Atazanavir. Predicted/Observed vs. Observed AUC_tEnd Ratio.</w:t>
      </w:r>
    </w:p>
    <w:p>
      <w:pPr>
        <w:pStyle w:val="BodyText"/>
      </w:pPr>
      <w:r>
        <w:drawing>
          <wp:inline>
            <wp:extent cx="5969000" cy="3051663"/>
            <wp:effectExtent b="0" l="0" r="0" t="0"/>
            <wp:docPr descr="" title="" id="56" name="Picture"/>
            <a:graphic>
              <a:graphicData uri="http://schemas.openxmlformats.org/drawingml/2006/picture">
                <pic:pic>
                  <pic:nvPicPr>
                    <pic:cNvPr descr="images/006_section_2/DDIRatio_1_perpetrator_Atazanavir_ddi_ratio_plot_AUC_tEnd_residualsVsObserved.png" id="57" name="Picture"/>
                    <pic:cNvPicPr>
                      <a:picLocks noChangeArrowheads="1" noChangeAspect="1"/>
                    </pic:cNvPicPr>
                  </pic:nvPicPr>
                  <pic:blipFill>
                    <a:blip r:embed="rId55"/>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11" w:name="figure-2-11"/>
        <w:bookmarkEnd w:id="figure-2-11"/>
      </w:r>
    </w:p>
    <w:p>
      <w:pPr>
        <w:pStyle w:val="BodyText"/>
      </w:pPr>
    </w:p>
    <w:p>
      <w:pPr>
        <w:pStyle w:val="BodyText"/>
      </w:pPr>
      <w:r>
        <w:rPr>
          <w:bCs/>
          <w:b/>
        </w:rPr>
        <w:t xml:space="preserve">Figure 2-11: UGT1A1 and UGT1A9 Inhibition DDI. Perpetrator: Atazanavir. Predicted vs. Observed CMAX Ratio.</w:t>
      </w:r>
    </w:p>
    <w:p>
      <w:pPr>
        <w:pStyle w:val="BodyText"/>
      </w:pPr>
      <w:r>
        <w:drawing>
          <wp:inline>
            <wp:extent cx="5969000" cy="3051663"/>
            <wp:effectExtent b="0" l="0" r="0" t="0"/>
            <wp:docPr descr="" title="" id="59" name="Picture"/>
            <a:graphic>
              <a:graphicData uri="http://schemas.openxmlformats.org/drawingml/2006/picture">
                <pic:pic>
                  <pic:nvPicPr>
                    <pic:cNvPr descr="images/006_section_2/DDIRatio_1_perpetrator_Atazanavir_ddi_ratio_plot_CMAX_predictedVsObserved.png" id="60" name="Picture"/>
                    <pic:cNvPicPr>
                      <a:picLocks noChangeArrowheads="1" noChangeAspect="1"/>
                    </pic:cNvPicPr>
                  </pic:nvPicPr>
                  <pic:blipFill>
                    <a:blip r:embed="rId58"/>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12" w:name="figure-2-12"/>
        <w:bookmarkEnd w:id="figure-2-12"/>
      </w:r>
    </w:p>
    <w:p>
      <w:pPr>
        <w:pStyle w:val="BodyText"/>
      </w:pPr>
    </w:p>
    <w:p>
      <w:pPr>
        <w:pStyle w:val="BodyText"/>
      </w:pPr>
      <w:r>
        <w:rPr>
          <w:bCs/>
          <w:b/>
        </w:rPr>
        <w:t xml:space="preserve">Figure 2-12: UGT1A1 and UGT1A9 Inhibition DDI. Perpetrator: Atazanavir. Predicted/Observed vs. Observed CMAX Ratio.</w:t>
      </w:r>
    </w:p>
    <w:p>
      <w:pPr>
        <w:pStyle w:val="BodyText"/>
      </w:pPr>
      <w:r>
        <w:drawing>
          <wp:inline>
            <wp:extent cx="5969000" cy="3051663"/>
            <wp:effectExtent b="0" l="0" r="0" t="0"/>
            <wp:docPr descr="" title="" id="62" name="Picture"/>
            <a:graphic>
              <a:graphicData uri="http://schemas.openxmlformats.org/drawingml/2006/picture">
                <pic:pic>
                  <pic:nvPicPr>
                    <pic:cNvPr descr="images/006_section_2/DDIRatio_1_perpetrator_Atazanavir_ddi_ratio_plot_CMAX_residualsVsObserved.png" id="63" name="Picture"/>
                    <pic:cNvPicPr>
                      <a:picLocks noChangeArrowheads="1" noChangeAspect="1"/>
                    </pic:cNvPicPr>
                  </pic:nvPicPr>
                  <pic:blipFill>
                    <a:blip r:embed="rId61"/>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table-2-8" w:name="table-2-8"/>
        <w:bookmarkEnd w:id="table-2-8"/>
      </w:r>
    </w:p>
    <w:p>
      <w:pPr>
        <w:pStyle w:val="BodyText"/>
      </w:pPr>
    </w:p>
    <w:p>
      <w:pPr>
        <w:pStyle w:val="BodyText"/>
      </w:pPr>
      <w:r>
        <w:rPr>
          <w:bCs/>
          <w:b/>
        </w:rPr>
        <w:t xml:space="preserve">Table 2-8: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AUC_tEnd</w:t>
            </w:r>
          </w:p>
        </w:tc>
        <w:tc>
          <w:tcPr/>
          <w:p>
            <w:pPr>
              <w:pStyle w:val="Compact"/>
              <w:jc w:val="left"/>
            </w:pPr>
            <w:r>
              <w:t xml:space="preserve">1.14</w:t>
            </w:r>
          </w:p>
        </w:tc>
      </w:tr>
      <w:tr>
        <w:tc>
          <w:tcPr/>
          <w:p>
            <w:pPr>
              <w:pStyle w:val="Compact"/>
              <w:jc w:val="left"/>
            </w:pPr>
            <w:r>
              <w:t xml:space="preserve">CMAX</w:t>
            </w:r>
          </w:p>
        </w:tc>
        <w:tc>
          <w:tcPr/>
          <w:p>
            <w:pPr>
              <w:pStyle w:val="Compact"/>
              <w:jc w:val="left"/>
            </w:pPr>
            <w:r>
              <w:t xml:space="preserve">1.12</w:t>
            </w:r>
          </w:p>
        </w:tc>
      </w:tr>
    </w:tbl>
    <w:p>
      <w:pPr>
        <w:pStyle w:val="BodyText"/>
      </w:pPr>
      <w:r>
        <w:t xml:space="preserve"> </w:t>
      </w:r>
    </w:p>
    <w:p>
      <w:r>
        <w:br w:type="page"/>
      </w:r>
      <w:r>
        <w:bookmarkStart w:id="table-2-9" w:name="table-2-9"/>
        <w:bookmarkEnd w:id="table-2-9"/>
      </w:r>
    </w:p>
    <w:p>
      <w:pPr>
        <w:pStyle w:val="BodyText"/>
      </w:pPr>
    </w:p>
    <w:p>
      <w:pPr>
        <w:pStyle w:val="BodyText"/>
      </w:pPr>
      <w:r>
        <w:rPr>
          <w:bCs/>
          <w:b/>
        </w:rPr>
        <w:t xml:space="preserve">Table 2-9: Summary table for UGT1A1 and UGT1A9 Inhibition DDI - AUC_tEnd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AUC_tEnd</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r>
        <w:br w:type="page"/>
      </w:r>
      <w:r>
        <w:bookmarkStart w:id="table-2-10" w:name="table-2-10"/>
        <w:bookmarkEnd w:id="table-2-10"/>
      </w:r>
    </w:p>
    <w:p>
      <w:pPr>
        <w:pStyle w:val="BodyText"/>
      </w:pPr>
    </w:p>
    <w:p>
      <w:pPr>
        <w:pStyle w:val="BodyText"/>
      </w:pPr>
      <w:r>
        <w:rPr>
          <w:bCs/>
          <w:b/>
        </w:rPr>
        <w:t xml:space="preserve">Table 2-10: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bookmarkEnd w:id="64"/>
    <w:bookmarkStart w:id="77" w:name="mefenamic-acid"/>
    <w:p>
      <w:pPr>
        <w:pStyle w:val="Heading3"/>
      </w:pPr>
      <w:r>
        <w:t xml:space="preserve">Mefenamic Acid</w:t>
      </w:r>
    </w:p>
    <w:p>
      <w:r>
        <w:br w:type="page"/>
      </w:r>
      <w:r>
        <w:bookmarkStart w:id="figure-2-13" w:name="figure-2-13"/>
        <w:bookmarkEnd w:id="figure-2-13"/>
      </w:r>
    </w:p>
    <w:p>
      <w:pPr>
        <w:pStyle w:val="FirstParagraph"/>
      </w:pPr>
    </w:p>
    <w:p>
      <w:pPr>
        <w:pStyle w:val="BodyText"/>
      </w:pPr>
      <w:r>
        <w:rPr>
          <w:bCs/>
          <w:b/>
        </w:rPr>
        <w:t xml:space="preserve">Figure 2-13: UGT1A1 and UGT1A9 Inhibition DDI. Perpetrator: Mefenamic Acid. Predicted vs. Observed AUC_tEnd Ratio.</w:t>
      </w:r>
    </w:p>
    <w:p>
      <w:pPr>
        <w:pStyle w:val="BodyText"/>
      </w:pPr>
      <w:r>
        <w:drawing>
          <wp:inline>
            <wp:extent cx="5969000" cy="2903178"/>
            <wp:effectExtent b="0" l="0" r="0" t="0"/>
            <wp:docPr descr="" title="" id="66" name="Picture"/>
            <a:graphic>
              <a:graphicData uri="http://schemas.openxmlformats.org/drawingml/2006/picture">
                <pic:pic>
                  <pic:nvPicPr>
                    <pic:cNvPr descr="images/006_section_2/DDIRatio_1_perpetrator_Mefenamic_Acid_ddi_ratio_plot_AUC_tEnd_predictedVsObserved.png" id="67" name="Picture"/>
                    <pic:cNvPicPr>
                      <a:picLocks noChangeArrowheads="1" noChangeAspect="1"/>
                    </pic:cNvPicPr>
                  </pic:nvPicPr>
                  <pic:blipFill>
                    <a:blip r:embed="rId65"/>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14" w:name="figure-2-14"/>
        <w:bookmarkEnd w:id="figure-2-14"/>
      </w:r>
    </w:p>
    <w:p>
      <w:pPr>
        <w:pStyle w:val="BodyText"/>
      </w:pPr>
    </w:p>
    <w:p>
      <w:pPr>
        <w:pStyle w:val="BodyText"/>
      </w:pPr>
      <w:r>
        <w:rPr>
          <w:bCs/>
          <w:b/>
        </w:rPr>
        <w:t xml:space="preserve">Figure 2-14: UGT1A1 and UGT1A9 Inhibition DDI. Perpetrator: Mefenamic Acid. Predicted/Observed vs. Observed AUC_tEnd Ratio.</w:t>
      </w:r>
    </w:p>
    <w:p>
      <w:pPr>
        <w:pStyle w:val="BodyText"/>
      </w:pPr>
      <w:r>
        <w:drawing>
          <wp:inline>
            <wp:extent cx="5969000" cy="2903178"/>
            <wp:effectExtent b="0" l="0" r="0" t="0"/>
            <wp:docPr descr="" title="" id="69" name="Picture"/>
            <a:graphic>
              <a:graphicData uri="http://schemas.openxmlformats.org/drawingml/2006/picture">
                <pic:pic>
                  <pic:nvPicPr>
                    <pic:cNvPr descr="images/006_section_2/DDIRatio_1_perpetrator_Mefenamic_Acid_ddi_ratio_plot_AUC_tEnd_residualsVsObserved.png" id="70" name="Picture"/>
                    <pic:cNvPicPr>
                      <a:picLocks noChangeArrowheads="1" noChangeAspect="1"/>
                    </pic:cNvPicPr>
                  </pic:nvPicPr>
                  <pic:blipFill>
                    <a:blip r:embed="rId68"/>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15" w:name="figure-2-15"/>
        <w:bookmarkEnd w:id="figure-2-15"/>
      </w:r>
    </w:p>
    <w:p>
      <w:pPr>
        <w:pStyle w:val="BodyText"/>
      </w:pPr>
    </w:p>
    <w:p>
      <w:pPr>
        <w:pStyle w:val="BodyText"/>
      </w:pPr>
      <w:r>
        <w:rPr>
          <w:bCs/>
          <w:b/>
        </w:rPr>
        <w:t xml:space="preserve">Figure 2-15: UGT1A1 and UGT1A9 Inhibition DDI. Perpetrator: Mefenamic Acid. Predicted vs. Observed CMAX Ratio.</w:t>
      </w:r>
    </w:p>
    <w:p>
      <w:pPr>
        <w:pStyle w:val="BodyText"/>
      </w:pPr>
      <w:r>
        <w:drawing>
          <wp:inline>
            <wp:extent cx="5969000" cy="2903178"/>
            <wp:effectExtent b="0" l="0" r="0" t="0"/>
            <wp:docPr descr="" title="" id="72" name="Picture"/>
            <a:graphic>
              <a:graphicData uri="http://schemas.openxmlformats.org/drawingml/2006/picture">
                <pic:pic>
                  <pic:nvPicPr>
                    <pic:cNvPr descr="images/006_section_2/DDIRatio_1_perpetrator_Mefenamic_Acid_ddi_ratio_plot_CMAX_predictedVsObserved.png" id="73" name="Picture"/>
                    <pic:cNvPicPr>
                      <a:picLocks noChangeArrowheads="1" noChangeAspect="1"/>
                    </pic:cNvPicPr>
                  </pic:nvPicPr>
                  <pic:blipFill>
                    <a:blip r:embed="rId71"/>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16" w:name="figure-2-16"/>
        <w:bookmarkEnd w:id="figure-2-16"/>
      </w:r>
    </w:p>
    <w:p>
      <w:pPr>
        <w:pStyle w:val="BodyText"/>
      </w:pPr>
    </w:p>
    <w:p>
      <w:pPr>
        <w:pStyle w:val="BodyText"/>
      </w:pPr>
      <w:r>
        <w:rPr>
          <w:bCs/>
          <w:b/>
        </w:rPr>
        <w:t xml:space="preserve">Figure 2-16: UGT1A1 and UGT1A9 Inhibition DDI. Perpetrator: Mefenamic Acid. Predicted/Observed vs. Observed CMAX Ratio.</w:t>
      </w:r>
    </w:p>
    <w:p>
      <w:pPr>
        <w:pStyle w:val="BodyText"/>
      </w:pPr>
      <w:r>
        <w:drawing>
          <wp:inline>
            <wp:extent cx="5969000" cy="2903178"/>
            <wp:effectExtent b="0" l="0" r="0" t="0"/>
            <wp:docPr descr="" title="" id="75" name="Picture"/>
            <a:graphic>
              <a:graphicData uri="http://schemas.openxmlformats.org/drawingml/2006/picture">
                <pic:pic>
                  <pic:nvPicPr>
                    <pic:cNvPr descr="images/006_section_2/DDIRatio_1_perpetrator_Mefenamic_Acid_ddi_ratio_plot_CMAX_residualsVsObserved.png" id="76" name="Picture"/>
                    <pic:cNvPicPr>
                      <a:picLocks noChangeArrowheads="1" noChangeAspect="1"/>
                    </pic:cNvPicPr>
                  </pic:nvPicPr>
                  <pic:blipFill>
                    <a:blip r:embed="rId74"/>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table-2-11" w:name="table-2-11"/>
        <w:bookmarkEnd w:id="table-2-11"/>
      </w:r>
    </w:p>
    <w:p>
      <w:pPr>
        <w:pStyle w:val="BodyText"/>
      </w:pPr>
    </w:p>
    <w:p>
      <w:pPr>
        <w:pStyle w:val="BodyText"/>
      </w:pPr>
      <w:r>
        <w:rPr>
          <w:bCs/>
          <w:b/>
        </w:rPr>
        <w:t xml:space="preserve">Table 2-11: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AUC_tEnd</w:t>
            </w:r>
          </w:p>
        </w:tc>
        <w:tc>
          <w:tcPr/>
          <w:p>
            <w:pPr>
              <w:pStyle w:val="Compact"/>
              <w:jc w:val="left"/>
            </w:pPr>
            <w:r>
              <w:t xml:space="preserve">1.07</w:t>
            </w:r>
          </w:p>
        </w:tc>
      </w:tr>
      <w:tr>
        <w:tc>
          <w:tcPr/>
          <w:p>
            <w:pPr>
              <w:pStyle w:val="Compact"/>
              <w:jc w:val="left"/>
            </w:pPr>
            <w:r>
              <w:t xml:space="preserve">CMAX</w:t>
            </w:r>
          </w:p>
        </w:tc>
        <w:tc>
          <w:tcPr/>
          <w:p>
            <w:pPr>
              <w:pStyle w:val="Compact"/>
              <w:jc w:val="left"/>
            </w:pPr>
            <w:r>
              <w:t xml:space="preserve">1.02</w:t>
            </w:r>
          </w:p>
        </w:tc>
      </w:tr>
    </w:tbl>
    <w:p>
      <w:pPr>
        <w:pStyle w:val="BodyText"/>
      </w:pPr>
      <w:r>
        <w:t xml:space="preserve"> </w:t>
      </w:r>
    </w:p>
    <w:p>
      <w:r>
        <w:br w:type="page"/>
      </w:r>
      <w:r>
        <w:bookmarkStart w:id="table-2-12" w:name="table-2-12"/>
        <w:bookmarkEnd w:id="table-2-12"/>
      </w:r>
    </w:p>
    <w:p>
      <w:pPr>
        <w:pStyle w:val="BodyText"/>
      </w:pPr>
    </w:p>
    <w:p>
      <w:pPr>
        <w:pStyle w:val="BodyText"/>
      </w:pPr>
      <w:r>
        <w:rPr>
          <w:bCs/>
          <w:b/>
        </w:rPr>
        <w:t xml:space="preserve">Table 2-12: Summary table for UGT1A1 and UGT1A9 Inhibition DDI - AUC_tEnd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AUC_tEnd</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r>
        <w:br w:type="page"/>
      </w:r>
      <w:r>
        <w:bookmarkStart w:id="table-2-13" w:name="table-2-13"/>
        <w:bookmarkEnd w:id="table-2-13"/>
      </w:r>
    </w:p>
    <w:p>
      <w:pPr>
        <w:pStyle w:val="BodyText"/>
      </w:pPr>
    </w:p>
    <w:p>
      <w:pPr>
        <w:pStyle w:val="BodyText"/>
      </w:pPr>
      <w:r>
        <w:rPr>
          <w:bCs/>
          <w:b/>
        </w:rPr>
        <w:t xml:space="preserve">Table 2-13: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bookmarkEnd w:id="77"/>
    <w:bookmarkEnd w:id="78"/>
    <w:bookmarkStart w:id="105" w:name="victim"/>
    <w:p>
      <w:pPr>
        <w:pStyle w:val="Heading2"/>
      </w:pPr>
      <w:r>
        <w:t xml:space="preserve">Victim</w:t>
      </w:r>
    </w:p>
    <w:p>
      <w:pPr>
        <w:pStyle w:val="FirstParagraph"/>
      </w:pPr>
    </w:p>
    <w:bookmarkStart w:id="91" w:name="dapagliflozin"/>
    <w:p>
      <w:pPr>
        <w:pStyle w:val="Heading3"/>
      </w:pPr>
      <w:r>
        <w:t xml:space="preserve">Dapagliflozin</w:t>
      </w:r>
    </w:p>
    <w:p>
      <w:r>
        <w:br w:type="page"/>
      </w:r>
      <w:r>
        <w:bookmarkStart w:id="figure-2-17" w:name="figure-2-17"/>
        <w:bookmarkEnd w:id="figure-2-17"/>
      </w:r>
    </w:p>
    <w:p>
      <w:pPr>
        <w:pStyle w:val="FirstParagraph"/>
      </w:pPr>
    </w:p>
    <w:p>
      <w:pPr>
        <w:pStyle w:val="BodyText"/>
      </w:pPr>
      <w:r>
        <w:rPr>
          <w:bCs/>
          <w:b/>
        </w:rPr>
        <w:t xml:space="preserve">Figure 2-17: UGT1A1 and UGT1A9 Inhibition DDI. Victim: Dapagliflozin. Predicted vs. Observed AUC_tEnd Ratio.</w:t>
      </w:r>
    </w:p>
    <w:p>
      <w:pPr>
        <w:pStyle w:val="BodyText"/>
      </w:pPr>
      <w:r>
        <w:drawing>
          <wp:inline>
            <wp:extent cx="5969000" cy="2903178"/>
            <wp:effectExtent b="0" l="0" r="0" t="0"/>
            <wp:docPr descr="" title="" id="80" name="Picture"/>
            <a:graphic>
              <a:graphicData uri="http://schemas.openxmlformats.org/drawingml/2006/picture">
                <pic:pic>
                  <pic:nvPicPr>
                    <pic:cNvPr descr="images/006_section_2/DDIRatio_1_victim_Dapagliflozin_ddi_ratio_plot_AUC_tEnd_predictedVsObserved.png" id="81" name="Picture"/>
                    <pic:cNvPicPr>
                      <a:picLocks noChangeArrowheads="1" noChangeAspect="1"/>
                    </pic:cNvPicPr>
                  </pic:nvPicPr>
                  <pic:blipFill>
                    <a:blip r:embed="rId79"/>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18" w:name="figure-2-18"/>
        <w:bookmarkEnd w:id="figure-2-18"/>
      </w:r>
    </w:p>
    <w:p>
      <w:pPr>
        <w:pStyle w:val="BodyText"/>
      </w:pPr>
    </w:p>
    <w:p>
      <w:pPr>
        <w:pStyle w:val="BodyText"/>
      </w:pPr>
      <w:r>
        <w:rPr>
          <w:bCs/>
          <w:b/>
        </w:rPr>
        <w:t xml:space="preserve">Figure 2-18: UGT1A1 and UGT1A9 Inhibition DDI. Victim: Dapagliflozin. Predicted/Observed vs. Observed AUC_tEnd Ratio.</w:t>
      </w:r>
    </w:p>
    <w:p>
      <w:pPr>
        <w:pStyle w:val="BodyText"/>
      </w:pPr>
      <w:r>
        <w:drawing>
          <wp:inline>
            <wp:extent cx="5969000" cy="2903178"/>
            <wp:effectExtent b="0" l="0" r="0" t="0"/>
            <wp:docPr descr="" title="" id="83" name="Picture"/>
            <a:graphic>
              <a:graphicData uri="http://schemas.openxmlformats.org/drawingml/2006/picture">
                <pic:pic>
                  <pic:nvPicPr>
                    <pic:cNvPr descr="images/006_section_2/DDIRatio_1_victim_Dapagliflozin_ddi_ratio_plot_AUC_tEnd_residualsVsObserved.png" id="84" name="Picture"/>
                    <pic:cNvPicPr>
                      <a:picLocks noChangeArrowheads="1" noChangeAspect="1"/>
                    </pic:cNvPicPr>
                  </pic:nvPicPr>
                  <pic:blipFill>
                    <a:blip r:embed="rId82"/>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19" w:name="figure-2-19"/>
        <w:bookmarkEnd w:id="figure-2-19"/>
      </w:r>
    </w:p>
    <w:p>
      <w:pPr>
        <w:pStyle w:val="BodyText"/>
      </w:pPr>
    </w:p>
    <w:p>
      <w:pPr>
        <w:pStyle w:val="BodyText"/>
      </w:pPr>
      <w:r>
        <w:rPr>
          <w:bCs/>
          <w:b/>
        </w:rPr>
        <w:t xml:space="preserve">Figure 2-19: UGT1A1 and UGT1A9 Inhibition DDI. Victim: Dapagliflozin. Predicted vs. Observed CMAX Ratio.</w:t>
      </w:r>
    </w:p>
    <w:p>
      <w:pPr>
        <w:pStyle w:val="BodyText"/>
      </w:pPr>
      <w:r>
        <w:drawing>
          <wp:inline>
            <wp:extent cx="5969000" cy="2903178"/>
            <wp:effectExtent b="0" l="0" r="0" t="0"/>
            <wp:docPr descr="" title="" id="86" name="Picture"/>
            <a:graphic>
              <a:graphicData uri="http://schemas.openxmlformats.org/drawingml/2006/picture">
                <pic:pic>
                  <pic:nvPicPr>
                    <pic:cNvPr descr="images/006_section_2/DDIRatio_1_victim_Dapagliflozin_ddi_ratio_plot_CMAX_predictedVsObserved.png" id="87" name="Picture"/>
                    <pic:cNvPicPr>
                      <a:picLocks noChangeArrowheads="1" noChangeAspect="1"/>
                    </pic:cNvPicPr>
                  </pic:nvPicPr>
                  <pic:blipFill>
                    <a:blip r:embed="rId85"/>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20" w:name="figure-2-20"/>
        <w:bookmarkEnd w:id="figure-2-20"/>
      </w:r>
    </w:p>
    <w:p>
      <w:pPr>
        <w:pStyle w:val="BodyText"/>
      </w:pPr>
    </w:p>
    <w:p>
      <w:pPr>
        <w:pStyle w:val="BodyText"/>
      </w:pPr>
      <w:r>
        <w:rPr>
          <w:bCs/>
          <w:b/>
        </w:rPr>
        <w:t xml:space="preserve">Figure 2-20: UGT1A1 and UGT1A9 Inhibition DDI. Victim: Dapagliflozin. Predicted/Observed vs. Observed CMAX Ratio.</w:t>
      </w:r>
    </w:p>
    <w:p>
      <w:pPr>
        <w:pStyle w:val="BodyText"/>
      </w:pPr>
      <w:r>
        <w:drawing>
          <wp:inline>
            <wp:extent cx="5969000" cy="2903178"/>
            <wp:effectExtent b="0" l="0" r="0" t="0"/>
            <wp:docPr descr="" title="" id="89" name="Picture"/>
            <a:graphic>
              <a:graphicData uri="http://schemas.openxmlformats.org/drawingml/2006/picture">
                <pic:pic>
                  <pic:nvPicPr>
                    <pic:cNvPr descr="images/006_section_2/DDIRatio_1_victim_Dapagliflozin_ddi_ratio_plot_CMAX_residualsVsObserved.png" id="90" name="Picture"/>
                    <pic:cNvPicPr>
                      <a:picLocks noChangeArrowheads="1" noChangeAspect="1"/>
                    </pic:cNvPicPr>
                  </pic:nvPicPr>
                  <pic:blipFill>
                    <a:blip r:embed="rId88"/>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table-2-14" w:name="table-2-14"/>
        <w:bookmarkEnd w:id="table-2-14"/>
      </w:r>
    </w:p>
    <w:p>
      <w:pPr>
        <w:pStyle w:val="BodyText"/>
      </w:pPr>
    </w:p>
    <w:p>
      <w:pPr>
        <w:pStyle w:val="BodyText"/>
      </w:pPr>
      <w:r>
        <w:rPr>
          <w:bCs/>
          <w:b/>
        </w:rPr>
        <w:t xml:space="preserve">Table 2-14: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AUC_tEnd</w:t>
            </w:r>
          </w:p>
        </w:tc>
        <w:tc>
          <w:tcPr/>
          <w:p>
            <w:pPr>
              <w:pStyle w:val="Compact"/>
              <w:jc w:val="left"/>
            </w:pPr>
            <w:r>
              <w:t xml:space="preserve">1.07</w:t>
            </w:r>
          </w:p>
        </w:tc>
      </w:tr>
      <w:tr>
        <w:tc>
          <w:tcPr/>
          <w:p>
            <w:pPr>
              <w:pStyle w:val="Compact"/>
              <w:jc w:val="left"/>
            </w:pPr>
            <w:r>
              <w:t xml:space="preserve">CMAX</w:t>
            </w:r>
          </w:p>
        </w:tc>
        <w:tc>
          <w:tcPr/>
          <w:p>
            <w:pPr>
              <w:pStyle w:val="Compact"/>
              <w:jc w:val="left"/>
            </w:pPr>
            <w:r>
              <w:t xml:space="preserve">1.02</w:t>
            </w:r>
          </w:p>
        </w:tc>
      </w:tr>
    </w:tbl>
    <w:p>
      <w:pPr>
        <w:pStyle w:val="BodyText"/>
      </w:pPr>
      <w:r>
        <w:t xml:space="preserve"> </w:t>
      </w:r>
    </w:p>
    <w:p>
      <w:r>
        <w:br w:type="page"/>
      </w:r>
      <w:r>
        <w:bookmarkStart w:id="table-2-15" w:name="table-2-15"/>
        <w:bookmarkEnd w:id="table-2-15"/>
      </w:r>
    </w:p>
    <w:p>
      <w:pPr>
        <w:pStyle w:val="BodyText"/>
      </w:pPr>
    </w:p>
    <w:p>
      <w:pPr>
        <w:pStyle w:val="BodyText"/>
      </w:pPr>
      <w:r>
        <w:rPr>
          <w:bCs/>
          <w:b/>
        </w:rPr>
        <w:t xml:space="preserve">Table 2-15: Summary table for UGT1A1 and UGT1A9 Inhibition DDI - AUC_tEnd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AUC_tEnd</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r>
        <w:br w:type="page"/>
      </w:r>
      <w:r>
        <w:bookmarkStart w:id="table-2-16" w:name="table-2-16"/>
        <w:bookmarkEnd w:id="table-2-16"/>
      </w:r>
    </w:p>
    <w:p>
      <w:pPr>
        <w:pStyle w:val="BodyText"/>
      </w:pPr>
    </w:p>
    <w:p>
      <w:pPr>
        <w:pStyle w:val="BodyText"/>
      </w:pPr>
      <w:r>
        <w:rPr>
          <w:bCs/>
          <w:b/>
        </w:rPr>
        <w:t xml:space="preserve">Table 2-16: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bookmarkEnd w:id="91"/>
    <w:bookmarkStart w:id="104" w:name="raltegravir"/>
    <w:p>
      <w:pPr>
        <w:pStyle w:val="Heading3"/>
      </w:pPr>
      <w:r>
        <w:t xml:space="preserve">Raltegravir</w:t>
      </w:r>
    </w:p>
    <w:p>
      <w:r>
        <w:br w:type="page"/>
      </w:r>
      <w:r>
        <w:bookmarkStart w:id="figure-2-21" w:name="figure-2-21"/>
        <w:bookmarkEnd w:id="figure-2-21"/>
      </w:r>
    </w:p>
    <w:p>
      <w:pPr>
        <w:pStyle w:val="FirstParagraph"/>
      </w:pPr>
    </w:p>
    <w:p>
      <w:pPr>
        <w:pStyle w:val="BodyText"/>
      </w:pPr>
      <w:r>
        <w:rPr>
          <w:bCs/>
          <w:b/>
        </w:rPr>
        <w:t xml:space="preserve">Figure 2-21: UGT1A1 and UGT1A9 Inhibition DDI. Victim: Raltegravir. Predicted vs. Observed AUC_tEnd Ratio.</w:t>
      </w:r>
    </w:p>
    <w:p>
      <w:pPr>
        <w:pStyle w:val="BodyText"/>
      </w:pPr>
      <w:r>
        <w:drawing>
          <wp:inline>
            <wp:extent cx="5969000" cy="3051663"/>
            <wp:effectExtent b="0" l="0" r="0" t="0"/>
            <wp:docPr descr="" title="" id="93" name="Picture"/>
            <a:graphic>
              <a:graphicData uri="http://schemas.openxmlformats.org/drawingml/2006/picture">
                <pic:pic>
                  <pic:nvPicPr>
                    <pic:cNvPr descr="images/006_section_2/DDIRatio_1_victim_Raltegravir_ddi_ratio_plot_AUC_tEnd_predictedVsObserved.png" id="94" name="Picture"/>
                    <pic:cNvPicPr>
                      <a:picLocks noChangeArrowheads="1" noChangeAspect="1"/>
                    </pic:cNvPicPr>
                  </pic:nvPicPr>
                  <pic:blipFill>
                    <a:blip r:embed="rId92"/>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22" w:name="figure-2-22"/>
        <w:bookmarkEnd w:id="figure-2-22"/>
      </w:r>
    </w:p>
    <w:p>
      <w:pPr>
        <w:pStyle w:val="BodyText"/>
      </w:pPr>
    </w:p>
    <w:p>
      <w:pPr>
        <w:pStyle w:val="BodyText"/>
      </w:pPr>
      <w:r>
        <w:rPr>
          <w:bCs/>
          <w:b/>
        </w:rPr>
        <w:t xml:space="preserve">Figure 2-22: UGT1A1 and UGT1A9 Inhibition DDI. Victim: Raltegravir. Predicted/Observed vs. Observed AUC_tEnd Ratio.</w:t>
      </w:r>
    </w:p>
    <w:p>
      <w:pPr>
        <w:pStyle w:val="BodyText"/>
      </w:pPr>
      <w:r>
        <w:drawing>
          <wp:inline>
            <wp:extent cx="5969000" cy="3051663"/>
            <wp:effectExtent b="0" l="0" r="0" t="0"/>
            <wp:docPr descr="" title="" id="96" name="Picture"/>
            <a:graphic>
              <a:graphicData uri="http://schemas.openxmlformats.org/drawingml/2006/picture">
                <pic:pic>
                  <pic:nvPicPr>
                    <pic:cNvPr descr="images/006_section_2/DDIRatio_1_victim_Raltegravir_ddi_ratio_plot_AUC_tEnd_residualsVsObserved.png" id="97" name="Picture"/>
                    <pic:cNvPicPr>
                      <a:picLocks noChangeArrowheads="1" noChangeAspect="1"/>
                    </pic:cNvPicPr>
                  </pic:nvPicPr>
                  <pic:blipFill>
                    <a:blip r:embed="rId95"/>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23" w:name="figure-2-23"/>
        <w:bookmarkEnd w:id="figure-2-23"/>
      </w:r>
    </w:p>
    <w:p>
      <w:pPr>
        <w:pStyle w:val="BodyText"/>
      </w:pPr>
    </w:p>
    <w:p>
      <w:pPr>
        <w:pStyle w:val="BodyText"/>
      </w:pPr>
      <w:r>
        <w:rPr>
          <w:bCs/>
          <w:b/>
        </w:rPr>
        <w:t xml:space="preserve">Figure 2-23: UGT1A1 and UGT1A9 Inhibition DDI. Victim: Raltegravir. Predicted vs. Observed CMAX Ratio.</w:t>
      </w:r>
    </w:p>
    <w:p>
      <w:pPr>
        <w:pStyle w:val="BodyText"/>
      </w:pPr>
      <w:r>
        <w:drawing>
          <wp:inline>
            <wp:extent cx="5969000" cy="3051663"/>
            <wp:effectExtent b="0" l="0" r="0" t="0"/>
            <wp:docPr descr="" title="" id="99" name="Picture"/>
            <a:graphic>
              <a:graphicData uri="http://schemas.openxmlformats.org/drawingml/2006/picture">
                <pic:pic>
                  <pic:nvPicPr>
                    <pic:cNvPr descr="images/006_section_2/DDIRatio_1_victim_Raltegravir_ddi_ratio_plot_CMAX_predictedVsObserved.png" id="100" name="Picture"/>
                    <pic:cNvPicPr>
                      <a:picLocks noChangeArrowheads="1" noChangeAspect="1"/>
                    </pic:cNvPicPr>
                  </pic:nvPicPr>
                  <pic:blipFill>
                    <a:blip r:embed="rId98"/>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24" w:name="figure-2-24"/>
        <w:bookmarkEnd w:id="figure-2-24"/>
      </w:r>
    </w:p>
    <w:p>
      <w:pPr>
        <w:pStyle w:val="BodyText"/>
      </w:pPr>
    </w:p>
    <w:p>
      <w:pPr>
        <w:pStyle w:val="BodyText"/>
      </w:pPr>
      <w:r>
        <w:rPr>
          <w:bCs/>
          <w:b/>
        </w:rPr>
        <w:t xml:space="preserve">Figure 2-24: UGT1A1 and UGT1A9 Inhibition DDI. Victim: Raltegravir. Predicted/Observed vs. Observed CMAX Ratio.</w:t>
      </w:r>
    </w:p>
    <w:p>
      <w:pPr>
        <w:pStyle w:val="BodyText"/>
      </w:pPr>
      <w:r>
        <w:drawing>
          <wp:inline>
            <wp:extent cx="5969000" cy="3051663"/>
            <wp:effectExtent b="0" l="0" r="0" t="0"/>
            <wp:docPr descr="" title="" id="102" name="Picture"/>
            <a:graphic>
              <a:graphicData uri="http://schemas.openxmlformats.org/drawingml/2006/picture">
                <pic:pic>
                  <pic:nvPicPr>
                    <pic:cNvPr descr="images/006_section_2/DDIRatio_1_victim_Raltegravir_ddi_ratio_plot_CMAX_residualsVsObserved.png" id="103" name="Picture"/>
                    <pic:cNvPicPr>
                      <a:picLocks noChangeArrowheads="1" noChangeAspect="1"/>
                    </pic:cNvPicPr>
                  </pic:nvPicPr>
                  <pic:blipFill>
                    <a:blip r:embed="rId101"/>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table-2-17" w:name="table-2-17"/>
        <w:bookmarkEnd w:id="table-2-17"/>
      </w:r>
    </w:p>
    <w:p>
      <w:pPr>
        <w:pStyle w:val="BodyText"/>
      </w:pPr>
    </w:p>
    <w:p>
      <w:pPr>
        <w:pStyle w:val="BodyText"/>
      </w:pPr>
      <w:r>
        <w:rPr>
          <w:bCs/>
          <w:b/>
        </w:rPr>
        <w:t xml:space="preserve">Table 2-17: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AUC_tEnd</w:t>
            </w:r>
          </w:p>
        </w:tc>
        <w:tc>
          <w:tcPr/>
          <w:p>
            <w:pPr>
              <w:pStyle w:val="Compact"/>
              <w:jc w:val="left"/>
            </w:pPr>
            <w:r>
              <w:t xml:space="preserve">1.14</w:t>
            </w:r>
          </w:p>
        </w:tc>
      </w:tr>
      <w:tr>
        <w:tc>
          <w:tcPr/>
          <w:p>
            <w:pPr>
              <w:pStyle w:val="Compact"/>
              <w:jc w:val="left"/>
            </w:pPr>
            <w:r>
              <w:t xml:space="preserve">CMAX</w:t>
            </w:r>
          </w:p>
        </w:tc>
        <w:tc>
          <w:tcPr/>
          <w:p>
            <w:pPr>
              <w:pStyle w:val="Compact"/>
              <w:jc w:val="left"/>
            </w:pPr>
            <w:r>
              <w:t xml:space="preserve">1.12</w:t>
            </w:r>
          </w:p>
        </w:tc>
      </w:tr>
    </w:tbl>
    <w:p>
      <w:pPr>
        <w:pStyle w:val="BodyText"/>
      </w:pPr>
      <w:r>
        <w:t xml:space="preserve"> </w:t>
      </w:r>
    </w:p>
    <w:p>
      <w:r>
        <w:br w:type="page"/>
      </w:r>
      <w:r>
        <w:bookmarkStart w:id="table-2-18" w:name="table-2-18"/>
        <w:bookmarkEnd w:id="table-2-18"/>
      </w:r>
    </w:p>
    <w:p>
      <w:pPr>
        <w:pStyle w:val="BodyText"/>
      </w:pPr>
    </w:p>
    <w:p>
      <w:pPr>
        <w:pStyle w:val="BodyText"/>
      </w:pPr>
      <w:r>
        <w:rPr>
          <w:bCs/>
          <w:b/>
        </w:rPr>
        <w:t xml:space="preserve">Table 2-18: Summary table for UGT1A1 and UGT1A9 Inhibition DDI - AUC_tEnd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AUC_tEnd</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r>
        <w:br w:type="page"/>
      </w:r>
      <w:r>
        <w:bookmarkStart w:id="table-2-19" w:name="table-2-19"/>
        <w:bookmarkEnd w:id="table-2-19"/>
      </w:r>
    </w:p>
    <w:p>
      <w:pPr>
        <w:pStyle w:val="BodyText"/>
      </w:pPr>
    </w:p>
    <w:p>
      <w:pPr>
        <w:pStyle w:val="BodyText"/>
      </w:pPr>
      <w:r>
        <w:rPr>
          <w:bCs/>
          <w:b/>
        </w:rPr>
        <w:t xml:space="preserve">Table 2-19: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bookmarkEnd w:id="104"/>
    <w:bookmarkEnd w:id="105"/>
    <w:bookmarkEnd w:id="106"/>
    <w:bookmarkStart w:id="127" w:name="concentration-time-profiles"/>
    <w:p>
      <w:pPr>
        <w:pStyle w:val="Heading1"/>
      </w:pPr>
      <w:r>
        <w:t xml:space="preserve">3 Concentration-Time Profiles</w:t>
      </w:r>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108" name="Picture"/>
            <a:graphic>
              <a:graphicData uri="http://schemas.openxmlformats.org/drawingml/2006/picture">
                <pic:pic>
                  <pic:nvPicPr>
                    <pic:cNvPr descr="images/GFME_equation.PNG" id="109" name="Picture"/>
                    <pic:cNvPicPr>
                      <a:picLocks noChangeArrowheads="1" noChangeAspect="1"/>
                    </pic:cNvPicPr>
                  </pic:nvPicPr>
                  <pic:blipFill>
                    <a:blip r:embed="rId107"/>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p>
      <w:pPr>
        <w:pStyle w:val="FirstParagraph"/>
      </w:pPr>
    </w:p>
    <w:bookmarkStart w:id="122" w:name="atazanavir---raltegravir-ddi-1"/>
    <w:p>
      <w:pPr>
        <w:pStyle w:val="Heading2"/>
      </w:pPr>
      <w:r>
        <w:t xml:space="preserve">3.1 Atazanavir - Raltegravir DDI</w:t>
      </w:r>
    </w:p>
    <w:p>
      <w:r>
        <w:br w:type="page"/>
      </w:r>
      <w:r>
        <w:bookmarkStart w:id="figure-3-1" w:name="figure-3-1"/>
        <w:bookmarkEnd w:id="figure-3-1"/>
      </w:r>
    </w:p>
    <w:p>
      <w:pPr>
        <w:pStyle w:val="FirstParagraph"/>
      </w:pPr>
    </w:p>
    <w:p>
      <w:pPr>
        <w:pStyle w:val="BodyText"/>
      </w:pPr>
      <w:r>
        <w:rPr>
          <w:bCs/>
          <w:b/>
        </w:rPr>
        <w:t xml:space="preserve">Figure 3-1: Iwamoto 2008</w:t>
      </w:r>
    </w:p>
    <w:p>
      <w:pPr>
        <w:pStyle w:val="BodyText"/>
      </w:pPr>
      <w:r>
        <w:drawing>
          <wp:inline>
            <wp:extent cx="5969000" cy="4500148"/>
            <wp:effectExtent b="0" l="0" r="0" t="0"/>
            <wp:docPr descr="" title="" id="111" name="Picture"/>
            <a:graphic>
              <a:graphicData uri="http://schemas.openxmlformats.org/drawingml/2006/picture">
                <pic:pic>
                  <pic:nvPicPr>
                    <pic:cNvPr descr="images/007_section_3/008_section_31/comparison_time_profile_Iwamoto_2008_1.png" id="112" name="Picture"/>
                    <pic:cNvPicPr>
                      <a:picLocks noChangeArrowheads="1" noChangeAspect="1"/>
                    </pic:cNvPicPr>
                  </pic:nvPicPr>
                  <pic:blipFill>
                    <a:blip r:embed="rId11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 w:name="figure-3-2"/>
        <w:bookmarkEnd w:id="figure-3-2"/>
      </w:r>
    </w:p>
    <w:p>
      <w:pPr>
        <w:pStyle w:val="BodyText"/>
      </w:pPr>
    </w:p>
    <w:p>
      <w:pPr>
        <w:pStyle w:val="BodyText"/>
      </w:pPr>
      <w:r>
        <w:rPr>
          <w:bCs/>
          <w:b/>
        </w:rPr>
        <w:t xml:space="preserve">Figure 3-2: Krishna 2016</w:t>
      </w:r>
    </w:p>
    <w:p>
      <w:pPr>
        <w:pStyle w:val="BodyText"/>
      </w:pPr>
      <w:r>
        <w:drawing>
          <wp:inline>
            <wp:extent cx="5969000" cy="4500148"/>
            <wp:effectExtent b="0" l="0" r="0" t="0"/>
            <wp:docPr descr="" title="" id="114" name="Picture"/>
            <a:graphic>
              <a:graphicData uri="http://schemas.openxmlformats.org/drawingml/2006/picture">
                <pic:pic>
                  <pic:nvPicPr>
                    <pic:cNvPr descr="images/007_section_3/008_section_31/comparison_time_profile_Krishna_2016_2.png" id="115" name="Picture"/>
                    <pic:cNvPicPr>
                      <a:picLocks noChangeArrowheads="1" noChangeAspect="1"/>
                    </pic:cNvPicPr>
                  </pic:nvPicPr>
                  <pic:blipFill>
                    <a:blip r:embed="rId11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 w:name="figure-3-3"/>
        <w:bookmarkEnd w:id="figure-3-3"/>
      </w:r>
    </w:p>
    <w:p>
      <w:pPr>
        <w:pStyle w:val="BodyText"/>
      </w:pPr>
    </w:p>
    <w:p>
      <w:pPr>
        <w:pStyle w:val="BodyText"/>
      </w:pPr>
      <w:r>
        <w:rPr>
          <w:bCs/>
          <w:b/>
        </w:rPr>
        <w:t xml:space="preserve">Figure 3-3: Neely 2010</w:t>
      </w:r>
    </w:p>
    <w:p>
      <w:pPr>
        <w:pStyle w:val="BodyText"/>
      </w:pPr>
      <w:r>
        <w:drawing>
          <wp:inline>
            <wp:extent cx="5969000" cy="4500148"/>
            <wp:effectExtent b="0" l="0" r="0" t="0"/>
            <wp:docPr descr="" title="" id="117" name="Picture"/>
            <a:graphic>
              <a:graphicData uri="http://schemas.openxmlformats.org/drawingml/2006/picture">
                <pic:pic>
                  <pic:nvPicPr>
                    <pic:cNvPr descr="images/007_section_3/008_section_31/comparison_time_profile_Neely_2010_3.png" id="118" name="Picture"/>
                    <pic:cNvPicPr>
                      <a:picLocks noChangeArrowheads="1" noChangeAspect="1"/>
                    </pic:cNvPicPr>
                  </pic:nvPicPr>
                  <pic:blipFill>
                    <a:blip r:embed="rId11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 w:name="figure-3-4"/>
        <w:bookmarkEnd w:id="figure-3-4"/>
      </w:r>
    </w:p>
    <w:p>
      <w:pPr>
        <w:pStyle w:val="BodyText"/>
      </w:pPr>
    </w:p>
    <w:p>
      <w:pPr>
        <w:pStyle w:val="BodyText"/>
      </w:pPr>
      <w:r>
        <w:rPr>
          <w:bCs/>
          <w:b/>
        </w:rPr>
        <w:t xml:space="preserve">Figure 3-4: Zhu 2010</w:t>
      </w:r>
    </w:p>
    <w:p>
      <w:pPr>
        <w:pStyle w:val="BodyText"/>
      </w:pPr>
      <w:r>
        <w:drawing>
          <wp:inline>
            <wp:extent cx="5969000" cy="4500148"/>
            <wp:effectExtent b="0" l="0" r="0" t="0"/>
            <wp:docPr descr="" title="" id="120" name="Picture"/>
            <a:graphic>
              <a:graphicData uri="http://schemas.openxmlformats.org/drawingml/2006/picture">
                <pic:pic>
                  <pic:nvPicPr>
                    <pic:cNvPr descr="images/007_section_3/008_section_31/comparison_time_profile_Zhu_2010_4.png" id="121" name="Picture"/>
                    <pic:cNvPicPr>
                      <a:picLocks noChangeArrowheads="1" noChangeAspect="1"/>
                    </pic:cNvPicPr>
                  </pic:nvPicPr>
                  <pic:blipFill>
                    <a:blip r:embed="rId11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122"/>
    <w:bookmarkStart w:id="126" w:name="mefenamic-acid---dapagliflozin-ddi-1"/>
    <w:p>
      <w:pPr>
        <w:pStyle w:val="Heading2"/>
      </w:pPr>
      <w:r>
        <w:t xml:space="preserve">3.2 Mefenamic acid - Dapagliflozin DDI</w:t>
      </w:r>
    </w:p>
    <w:p>
      <w:r>
        <w:br w:type="page"/>
      </w:r>
      <w:r>
        <w:bookmarkStart w:id="figure-3-5" w:name="figure-3-5"/>
        <w:bookmarkEnd w:id="figure-3-5"/>
      </w:r>
    </w:p>
    <w:p>
      <w:pPr>
        <w:pStyle w:val="FirstParagraph"/>
      </w:pPr>
    </w:p>
    <w:p>
      <w:pPr>
        <w:pStyle w:val="BodyText"/>
      </w:pPr>
      <w:r>
        <w:rPr>
          <w:bCs/>
          <w:b/>
        </w:rPr>
        <w:t xml:space="preserve">Figure 3-5: Kasichayanula 2013a</w:t>
      </w:r>
    </w:p>
    <w:p>
      <w:pPr>
        <w:pStyle w:val="BodyText"/>
      </w:pPr>
      <w:r>
        <w:drawing>
          <wp:inline>
            <wp:extent cx="5969000" cy="4500148"/>
            <wp:effectExtent b="0" l="0" r="0" t="0"/>
            <wp:docPr descr="" title="" id="124" name="Picture"/>
            <a:graphic>
              <a:graphicData uri="http://schemas.openxmlformats.org/drawingml/2006/picture">
                <pic:pic>
                  <pic:nvPicPr>
                    <pic:cNvPr descr="images/007_section_3/009_section_32/comparison_time_profile_Kasichayanula_2013a_5.png" id="125" name="Picture"/>
                    <pic:cNvPicPr>
                      <a:picLocks noChangeArrowheads="1" noChangeAspect="1"/>
                    </pic:cNvPicPr>
                  </pic:nvPicPr>
                  <pic:blipFill>
                    <a:blip r:embed="rId12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126"/>
    <w:bookmarkEnd w:id="127"/>
    <w:bookmarkStart w:id="128" w:name="references"/>
    <w:p>
      <w:pPr>
        <w:pStyle w:val="Heading1"/>
      </w:pPr>
      <w:r>
        <w:t xml:space="preserve">4 References</w:t>
      </w:r>
    </w:p>
    <w:p>
      <w:pPr>
        <w:pStyle w:val="FirstParagraph"/>
      </w:pPr>
      <w:r>
        <w:rPr>
          <w:bCs/>
          <w:b/>
        </w:rPr>
        <w:t xml:space="preserve">Guest 2011</w:t>
      </w:r>
      <w:r>
        <w:t xml:space="preserve"> </w:t>
      </w:r>
      <w:r>
        <w:t xml:space="preserve">Guest EJ, Aarons L, Houston JB, Rostami-Hodjegan A, Galetin A. Critique of the twofold measure of prediction success for ratios: application for the assessment of drug-drug</w:t>
      </w:r>
      <w:r>
        <w:t xml:space="preserve"> </w:t>
      </w:r>
      <w:r>
        <w:t xml:space="preserve">interactions. Drug metabolism and disposition: the biological fate of chemicals. 2011;39(2):170-3</w:t>
      </w:r>
    </w:p>
    <w:p>
      <w:pPr>
        <w:pStyle w:val="BodyText"/>
      </w:pPr>
      <w:r>
        <w:rPr>
          <w:bCs/>
          <w:b/>
        </w:rPr>
        <w:t xml:space="preserve">Iwamoto 2008</w:t>
      </w:r>
      <w:r>
        <w:t xml:space="preserve"> </w:t>
      </w:r>
      <w:r>
        <w:t xml:space="preserve">Iwamoto M, Wenning LA, Mistry GC, Petry AS, Liou SY, Ghosh K, et al. Atazanavir modestly increases plasma levels of raltegravir in healthy subjects. Clinical infectious diseases :</w:t>
      </w:r>
      <w:r>
        <w:t xml:space="preserve"> </w:t>
      </w:r>
      <w:r>
        <w:t xml:space="preserve">an official publication of the Infectious Diseases Society of America. 2008;47(1):137-40.</w:t>
      </w:r>
    </w:p>
    <w:p>
      <w:pPr>
        <w:pStyle w:val="BodyText"/>
      </w:pPr>
      <w:r>
        <w:rPr>
          <w:bCs/>
          <w:b/>
        </w:rPr>
        <w:t xml:space="preserve">Kasichayanula 2013</w:t>
      </w:r>
      <w:r>
        <w:t xml:space="preserve"> </w:t>
      </w:r>
      <w:r>
        <w:t xml:space="preserve">Kasichayanula S, Liu X, Griffen SC, Lacreta FP, Boulton DW. Effects of</w:t>
      </w:r>
      <w:r>
        <w:t xml:space="preserve"> </w:t>
      </w:r>
      <w:r>
        <w:t xml:space="preserve">rifampin and mefenamic acid on the pharmacokinetics and pharmacodynamics of dapagliflozin.</w:t>
      </w:r>
      <w:r>
        <w:t xml:space="preserve"> </w:t>
      </w:r>
      <w:r>
        <w:t xml:space="preserve">Diabetes, obesity &amp; metabolism. 2013;15(3):280-3.</w:t>
      </w:r>
    </w:p>
    <w:p>
      <w:pPr>
        <w:pStyle w:val="BodyText"/>
      </w:pPr>
      <w:r>
        <w:rPr>
          <w:bCs/>
          <w:b/>
        </w:rPr>
        <w:t xml:space="preserve">Krishna 2008</w:t>
      </w:r>
      <w:r>
        <w:t xml:space="preserve"> </w:t>
      </w:r>
      <w:r>
        <w:t xml:space="preserve">Krishna R, East L, Larson P, Valiathan C, Deschamps K, Luk JA, et al. Atazanavir</w:t>
      </w:r>
      <w:r>
        <w:t xml:space="preserve"> </w:t>
      </w:r>
      <w:r>
        <w:t xml:space="preserve">increases the plasma concentrations of 1200 mg raltegravir dose. Biopharmaceutics &amp; drug</w:t>
      </w:r>
      <w:r>
        <w:t xml:space="preserve"> </w:t>
      </w:r>
      <w:r>
        <w:t xml:space="preserve">disposition. 2016;37(9):533-41.</w:t>
      </w:r>
    </w:p>
    <w:p>
      <w:pPr>
        <w:pStyle w:val="BodyText"/>
      </w:pPr>
      <w:r>
        <w:rPr>
          <w:bCs/>
          <w:b/>
        </w:rPr>
        <w:t xml:space="preserve">Neely 2010</w:t>
      </w:r>
      <w:r>
        <w:t xml:space="preserve"> </w:t>
      </w:r>
      <w:r>
        <w:t xml:space="preserve">Neely M, Decosterd L, Fayet A, Lee JS, Margol A, Kanani M, et al. Pharmacokinetics and pharmacogenomics of once-daily raltegravir and atazanavir in healthy volunteers.</w:t>
      </w:r>
      <w:r>
        <w:t xml:space="preserve"> </w:t>
      </w:r>
      <w:r>
        <w:t xml:space="preserve">Antimicrobial agents and chemotherapy. 2010;54(11):4619-25.</w:t>
      </w:r>
    </w:p>
    <w:p>
      <w:pPr>
        <w:pStyle w:val="BodyText"/>
      </w:pPr>
      <w:r>
        <w:rPr>
          <w:bCs/>
          <w:b/>
        </w:rPr>
        <w:t xml:space="preserve">Zhu 2010</w:t>
      </w:r>
      <w:r>
        <w:t xml:space="preserve"> </w:t>
      </w:r>
      <w:r>
        <w:t xml:space="preserve">Zhu L, Butterton J, Persson A, Stonier M, Comisar W, Panebianco D, et al.</w:t>
      </w:r>
      <w:r>
        <w:t xml:space="preserve"> </w:t>
      </w:r>
      <w:r>
        <w:t xml:space="preserve">Pharmacokinetics and safety of twice-daily atazanavir 300 mg and raltegravir 400 mg in healthy</w:t>
      </w:r>
      <w:r>
        <w:t xml:space="preserve"> </w:t>
      </w:r>
      <w:r>
        <w:t xml:space="preserve">individuals. Antiviral therapy. 2010;15(8):1107-14.</w:t>
      </w:r>
    </w:p>
    <w:p>
      <w:pPr>
        <w:pStyle w:val="BodyText"/>
      </w:pPr>
    </w:p>
    <w:bookmarkEnd w:id="128"/>
    <w:bookmarkStart w:id="159" w:name="appendix"/>
    <w:p>
      <w:pPr>
        <w:pStyle w:val="Heading1"/>
      </w:pPr>
      <w:r>
        <w:t xml:space="preserve">5 Appendix</w:t>
      </w:r>
    </w:p>
    <w:p>
      <w:pPr>
        <w:pStyle w:val="FirstParagraph"/>
      </w:pPr>
    </w:p>
    <w:bookmarkStart w:id="133" w:name="Xf2129835e9665e0ef6a32e8c0dde4d7bc9979ae"/>
    <w:p>
      <w:pPr>
        <w:pStyle w:val="Heading2"/>
      </w:pPr>
      <w:r>
        <w:t xml:space="preserve">5.1 Open Systems Pharmacology Suite (OSPS) Introduction</w:t>
      </w:r>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129">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p>
      <w:pPr>
        <w:pStyle w:val="CaptionedFigure"/>
      </w:pPr>
      <w:r>
        <w:drawing>
          <wp:inline>
            <wp:extent cx="5969000" cy="7652384"/>
            <wp:effectExtent b="0" l="0" r="0" t="0"/>
            <wp:docPr descr="generic PBPK model" title="" id="131" name="Picture"/>
            <a:graphic>
              <a:graphicData uri="http://schemas.openxmlformats.org/drawingml/2006/picture">
                <pic:pic>
                  <pic:nvPicPr>
                    <pic:cNvPr descr="images/PK-Sim_PBPK_generic_model_scheme.png" id="132" name="Picture"/>
                    <pic:cNvPicPr>
                      <a:picLocks noChangeArrowheads="1" noChangeAspect="1"/>
                    </pic:cNvPicPr>
                  </pic:nvPicPr>
                  <pic:blipFill>
                    <a:blip r:embed="rId130"/>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133"/>
    <w:bookmarkStart w:id="143" w:name="references-for-osps-introduction"/>
    <w:p>
      <w:pPr>
        <w:pStyle w:val="Heading2"/>
      </w:pPr>
      <w:r>
        <w:t xml:space="preserve">References for OSPS introduction</w:t>
      </w:r>
    </w:p>
    <w:p>
      <w:pPr>
        <w:pStyle w:val="FirstParagraph"/>
      </w:pPr>
      <w:r>
        <w:t xml:space="preserve">[1]</w:t>
      </w:r>
      <w:r>
        <w:t xml:space="preserve"> </w:t>
      </w:r>
      <w:hyperlink r:id="rId134">
        <w:r>
          <w:rPr>
            <w:rStyle w:val="Hyperlink"/>
          </w:rPr>
          <w:t xml:space="preserve">www.open-systems-pharmacology.org</w:t>
        </w:r>
      </w:hyperlink>
    </w:p>
    <w:p>
      <w:pPr>
        <w:pStyle w:val="BodyText"/>
      </w:pPr>
      <w:r>
        <w:t xml:space="preserve">[2]</w:t>
      </w:r>
      <w:r>
        <w:t xml:space="preserve"> </w:t>
      </w:r>
      <w:hyperlink r:id="rId135">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136">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137">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138">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139">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140">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141">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142">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p>
      <w:pPr>
        <w:pStyle w:val="BodyText"/>
      </w:pPr>
    </w:p>
    <w:bookmarkEnd w:id="143"/>
    <w:bookmarkStart w:id="147" w:name="X4bcdf79c00dcdcc0b4198c7b61e2414b349f99b"/>
    <w:p>
      <w:pPr>
        <w:pStyle w:val="Heading2"/>
      </w:pPr>
      <w:r>
        <w:t xml:space="preserve">5.2 Mathematical Implementation of Drug-Drug Interactions</w:t>
      </w:r>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144">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145">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146">
        <w:r>
          <w:rPr>
            <w:rStyle w:val="Hyperlink"/>
          </w:rPr>
          <w:t xml:space="preserve">here</w:t>
        </w:r>
      </w:hyperlink>
      <w:r>
        <w:t xml:space="preserve">.</w:t>
      </w:r>
    </w:p>
    <w:p>
      <w:pPr>
        <w:pStyle w:val="BodyText"/>
      </w:pPr>
    </w:p>
    <w:bookmarkEnd w:id="147"/>
    <w:bookmarkStart w:id="158" w:name="automatic-re-qualification-workflow"/>
    <w:p>
      <w:pPr>
        <w:pStyle w:val="Heading2"/>
      </w:pPr>
      <w:r>
        <w:t xml:space="preserve">5.3 Automatic (re)-qualification workflow</w:t>
      </w:r>
    </w:p>
    <w:p>
      <w:pPr>
        <w:pStyle w:val="FirstParagraph"/>
      </w:pPr>
      <w:hyperlink r:id="rId148">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r>
        <w:t xml:space="preserve"> </w:t>
      </w:r>
      <w:r>
        <w:drawing>
          <wp:inline>
            <wp:extent cx="5969000" cy="2667071"/>
            <wp:effectExtent b="0" l="0" r="0" t="0"/>
            <wp:docPr descr="OSP qualification workflow" title="" id="150" name="Picture"/>
            <a:graphic>
              <a:graphicData uri="http://schemas.openxmlformats.org/drawingml/2006/picture">
                <pic:pic>
                  <pic:nvPicPr>
                    <pic:cNvPr descr="images/OSP_Qualification_Workflow_1.png" id="151" name="Picture"/>
                    <pic:cNvPicPr>
                      <a:picLocks noChangeArrowheads="1" noChangeAspect="1"/>
                    </pic:cNvPicPr>
                  </pic:nvPicPr>
                  <pic:blipFill>
                    <a:blip r:embed="rId149"/>
                    <a:stretch>
                      <a:fillRect/>
                    </a:stretch>
                  </pic:blipFill>
                  <pic:spPr bwMode="auto">
                    <a:xfrm>
                      <a:off x="0" y="0"/>
                      <a:ext cx="5969000" cy="2667071"/>
                    </a:xfrm>
                    <a:prstGeom prst="rect">
                      <a:avLst/>
                    </a:prstGeom>
                    <a:noFill/>
                    <a:ln w="9525">
                      <a:noFill/>
                      <a:headEnd/>
                      <a:tailEnd/>
                    </a:ln>
                  </pic:spPr>
                </pic:pic>
              </a:graphicData>
            </a:graphic>
          </wp:inline>
        </w:drawing>
      </w:r>
    </w:p>
    <w:p>
      <w:pPr>
        <w:pStyle w:val="BodyText"/>
      </w:pPr>
      <w:r>
        <w:t xml:space="preserve">In a first step, the respective qualification scenario is saved in a special qualification repository on</w:t>
      </w:r>
      <w:r>
        <w:t xml:space="preserve"> </w:t>
      </w:r>
      <w:hyperlink r:id="rId152">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r>
        <w:t xml:space="preserve"> </w:t>
      </w:r>
      <w:r>
        <w:drawing>
          <wp:inline>
            <wp:extent cx="5969000" cy="2875672"/>
            <wp:effectExtent b="0" l="0" r="0" t="0"/>
            <wp:docPr descr="OSP qualification workflow detail" title="" id="154" name="Picture"/>
            <a:graphic>
              <a:graphicData uri="http://schemas.openxmlformats.org/drawingml/2006/picture">
                <pic:pic>
                  <pic:nvPicPr>
                    <pic:cNvPr descr="images/OSP_Qualification_Workflow_2.png" id="155" name="Picture"/>
                    <pic:cNvPicPr>
                      <a:picLocks noChangeArrowheads="1" noChangeAspect="1"/>
                    </pic:cNvPicPr>
                  </pic:nvPicPr>
                  <pic:blipFill>
                    <a:blip r:embed="rId153"/>
                    <a:stretch>
                      <a:fillRect/>
                    </a:stretch>
                  </pic:blipFill>
                  <pic:spPr bwMode="auto">
                    <a:xfrm>
                      <a:off x="0" y="0"/>
                      <a:ext cx="5969000" cy="2875672"/>
                    </a:xfrm>
                    <a:prstGeom prst="rect">
                      <a:avLst/>
                    </a:prstGeom>
                    <a:noFill/>
                    <a:ln w="9525">
                      <a:noFill/>
                      <a:headEnd/>
                      <a:tailEnd/>
                    </a:ln>
                  </pic:spPr>
                </pic:pic>
              </a:graphicData>
            </a:graphic>
          </wp:inline>
        </w:drawing>
      </w:r>
    </w:p>
    <w:p>
      <w:pPr>
        <w:pStyle w:val="BodyText"/>
      </w:pPr>
      <w:r>
        <w:t xml:space="preserve">In a second step the</w:t>
      </w:r>
      <w:r>
        <w:t xml:space="preserve"> </w:t>
      </w:r>
      <w:hyperlink r:id="rId156">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157">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158"/>
    <w:bookmarkEnd w:id="159"/>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07" Target="media/rId107.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30" Target="media/rId130.png" /><Relationship Type="http://schemas.openxmlformats.org/officeDocument/2006/relationships/hyperlink" Id="rId148" Target="http://www.open-systems-pharmacology.org" TargetMode="External" /><Relationship Type="http://schemas.openxmlformats.org/officeDocument/2006/relationships/hyperlink" Id="rId134" Target="http://www.open-systems-pharmacology.org/" TargetMode="External" /><Relationship Type="http://schemas.openxmlformats.org/officeDocument/2006/relationships/hyperlink" Id="rId129" Target="https://docs.open-systems-pharmacology.org/mechanistic-modeling-of-pharmacokinetics-and-dynamics/modeling-concepts" TargetMode="External" /><Relationship Type="http://schemas.openxmlformats.org/officeDocument/2006/relationships/hyperlink" Id="rId144"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146" Target="https://docs.open-systems-pharmacology.org/working-with-pk-sim/pk-sim-documentation/pk-sim-compounds-defining-inhibition-induction-processes#enzyme-induction" TargetMode="External" /><Relationship Type="http://schemas.openxmlformats.org/officeDocument/2006/relationships/hyperlink" Id="rId145" Target="https://docs.open-systems-pharmacology.org/working-with-pk-sim/pk-sim-documentation/pk-sim-compounds-defining-inhibition-induction-processes#irreversible-inhibition" TargetMode="External" /><Relationship Type="http://schemas.openxmlformats.org/officeDocument/2006/relationships/hyperlink" Id="rId152" Target="https://github.com/Open-Systems-Pharmacology/" TargetMode="External" /><Relationship Type="http://schemas.openxmlformats.org/officeDocument/2006/relationships/hyperlink" Id="rId21" Target="https://github.com/Open-Systems-Pharmacology/Database-for-observed-data" TargetMode="External" /><Relationship Type="http://schemas.openxmlformats.org/officeDocument/2006/relationships/hyperlink" Id="rId156" Target="https://github.com/Open-Systems-Pharmacology/QualificationRunner" TargetMode="External" /><Relationship Type="http://schemas.openxmlformats.org/officeDocument/2006/relationships/hyperlink" Id="rId157" Target="https://github.com/Open-Systems-Pharmacology/Reporting-Engine" TargetMode="External" /><Relationship Type="http://schemas.openxmlformats.org/officeDocument/2006/relationships/hyperlink" Id="rId136" Target="https://onlinelibrary.wiley.com/doi/pdf/10.1002/3527603034.ch26" TargetMode="External" /><Relationship Type="http://schemas.openxmlformats.org/officeDocument/2006/relationships/hyperlink" Id="rId135" Target="https://www.ncbi.nlm.nih.gov/pubmed/15267240" TargetMode="External" /><Relationship Type="http://schemas.openxmlformats.org/officeDocument/2006/relationships/hyperlink" Id="rId138" Target="https://www.ncbi.nlm.nih.gov/pubmed/15858854" TargetMode="External" /><Relationship Type="http://schemas.openxmlformats.org/officeDocument/2006/relationships/hyperlink" Id="rId139" Target="https://www.ncbi.nlm.nih.gov/pubmed/16639716" TargetMode="External" /><Relationship Type="http://schemas.openxmlformats.org/officeDocument/2006/relationships/hyperlink" Id="rId137" Target="https://www.ncbi.nlm.nih.gov/pubmed/16922658" TargetMode="External" /><Relationship Type="http://schemas.openxmlformats.org/officeDocument/2006/relationships/hyperlink" Id="rId140" Target="https://www.ncbi.nlm.nih.gov/pubmed/17372687" TargetMode="External" /><Relationship Type="http://schemas.openxmlformats.org/officeDocument/2006/relationships/hyperlink" Id="rId141" Target="https://www.ncbi.nlm.nih.gov/pubmed/17431751" TargetMode="External" /><Relationship Type="http://schemas.openxmlformats.org/officeDocument/2006/relationships/hyperlink" Id="rId142"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148" Target="http://www.open-systems-pharmacology.org" TargetMode="External" /><Relationship Type="http://schemas.openxmlformats.org/officeDocument/2006/relationships/hyperlink" Id="rId134" Target="http://www.open-systems-pharmacology.org/" TargetMode="External" /><Relationship Type="http://schemas.openxmlformats.org/officeDocument/2006/relationships/hyperlink" Id="rId129" Target="https://docs.open-systems-pharmacology.org/mechanistic-modeling-of-pharmacokinetics-and-dynamics/modeling-concepts" TargetMode="External" /><Relationship Type="http://schemas.openxmlformats.org/officeDocument/2006/relationships/hyperlink" Id="rId144"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146" Target="https://docs.open-systems-pharmacology.org/working-with-pk-sim/pk-sim-documentation/pk-sim-compounds-defining-inhibition-induction-processes#enzyme-induction" TargetMode="External" /><Relationship Type="http://schemas.openxmlformats.org/officeDocument/2006/relationships/hyperlink" Id="rId145" Target="https://docs.open-systems-pharmacology.org/working-with-pk-sim/pk-sim-documentation/pk-sim-compounds-defining-inhibition-induction-processes#irreversible-inhibition" TargetMode="External" /><Relationship Type="http://schemas.openxmlformats.org/officeDocument/2006/relationships/hyperlink" Id="rId152" Target="https://github.com/Open-Systems-Pharmacology/" TargetMode="External" /><Relationship Type="http://schemas.openxmlformats.org/officeDocument/2006/relationships/hyperlink" Id="rId21" Target="https://github.com/Open-Systems-Pharmacology/Database-for-observed-data" TargetMode="External" /><Relationship Type="http://schemas.openxmlformats.org/officeDocument/2006/relationships/hyperlink" Id="rId156" Target="https://github.com/Open-Systems-Pharmacology/QualificationRunner" TargetMode="External" /><Relationship Type="http://schemas.openxmlformats.org/officeDocument/2006/relationships/hyperlink" Id="rId157" Target="https://github.com/Open-Systems-Pharmacology/Reporting-Engine" TargetMode="External" /><Relationship Type="http://schemas.openxmlformats.org/officeDocument/2006/relationships/hyperlink" Id="rId136" Target="https://onlinelibrary.wiley.com/doi/pdf/10.1002/3527603034.ch26" TargetMode="External" /><Relationship Type="http://schemas.openxmlformats.org/officeDocument/2006/relationships/hyperlink" Id="rId135" Target="https://www.ncbi.nlm.nih.gov/pubmed/15267240" TargetMode="External" /><Relationship Type="http://schemas.openxmlformats.org/officeDocument/2006/relationships/hyperlink" Id="rId138" Target="https://www.ncbi.nlm.nih.gov/pubmed/15858854" TargetMode="External" /><Relationship Type="http://schemas.openxmlformats.org/officeDocument/2006/relationships/hyperlink" Id="rId139" Target="https://www.ncbi.nlm.nih.gov/pubmed/16639716" TargetMode="External" /><Relationship Type="http://schemas.openxmlformats.org/officeDocument/2006/relationships/hyperlink" Id="rId137" Target="https://www.ncbi.nlm.nih.gov/pubmed/16922658" TargetMode="External" /><Relationship Type="http://schemas.openxmlformats.org/officeDocument/2006/relationships/hyperlink" Id="rId140" Target="https://www.ncbi.nlm.nih.gov/pubmed/17372687" TargetMode="External" /><Relationship Type="http://schemas.openxmlformats.org/officeDocument/2006/relationships/hyperlink" Id="rId141" Target="https://www.ncbi.nlm.nih.gov/pubmed/17431751" TargetMode="External" /><Relationship Type="http://schemas.openxmlformats.org/officeDocument/2006/relationships/hyperlink" Id="rId142"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UGT DDI Inhibition Qualification</dc:title>
  <dc:creator/>
  <cp:keywords/>
  <dcterms:created xsi:type="dcterms:W3CDTF">2023-05-30T22:27:42Z</dcterms:created>
  <dcterms:modified xsi:type="dcterms:W3CDTF">2023-05-30T22:27:42Z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Versionx.x-OSPy.yQualification Plan Releasehttps://github.com/Open-Systems-Pharmacology/Qualification-DDI-UGT/releases/tag/vx.xOSP Versiony.yQualification Framework Versionz.zThis qualification report is filed at:https://github.com/Open-Systems-Pharmacology/OSP-Qualification-Reports</vt:lpwstr>
  </property>
  <property fmtid="{D5CDD505-2E9C-101B-9397-08002B2CF9AE}" pid="3" name="subtitle">
    <vt:lpwstr/>
  </property>
</Properties>
</file>